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568960</wp:posOffset>
            </wp:positionH>
            <wp:positionV relativeFrom="page">
              <wp:posOffset>354965</wp:posOffset>
            </wp:positionV>
            <wp:extent cx="6423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page">
              <wp:posOffset>568960</wp:posOffset>
            </wp:positionH>
            <wp:positionV relativeFrom="page">
              <wp:posOffset>320675</wp:posOffset>
            </wp:positionV>
            <wp:extent cx="64230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17145"/>
                    </a:xfrm>
                    <a:prstGeom prst="rect">
                      <a:avLst/>
                    </a:prstGeom>
                    <a:noFill/>
                  </pic:spPr>
                </pic:pic>
              </a:graphicData>
            </a:graphic>
          </wp:anchor>
        </w:drawing>
        <w:t>UNITED STATES</w:t>
      </w:r>
    </w:p>
    <w:p>
      <w:pPr>
        <w:spacing w:after="0" w:line="27" w:lineRule="exact"/>
        <w:rPr>
          <w:sz w:val="24"/>
          <w:szCs w:val="24"/>
          <w:color w:val="auto"/>
        </w:rPr>
      </w:pPr>
    </w:p>
    <w:p>
      <w:pPr>
        <w:jc w:val="center"/>
        <w:ind w:right="36"/>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FORM 10-Q</w:t>
      </w:r>
    </w:p>
    <w:p>
      <w:pPr>
        <w:spacing w:after="0" w:line="17"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ind w:left="4"/>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684" w:right="660" w:hanging="3684"/>
        <w:spacing w:after="0" w:line="422" w:lineRule="auto"/>
        <w:tabs>
          <w:tab w:leader="none" w:pos="28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 to –</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Commission file number: 001-35629</w:t>
      </w:r>
    </w:p>
    <w:p>
      <w:pPr>
        <w:spacing w:after="0" w:line="21"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0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TILE SHOP HOLDINGS, INC.</w:t>
      </w:r>
    </w:p>
    <w:p>
      <w:pPr>
        <w:spacing w:after="0" w:line="4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38" w:lineRule="exact"/>
        <w:rPr>
          <w:sz w:val="24"/>
          <w:szCs w:val="24"/>
          <w:color w:val="auto"/>
        </w:rPr>
      </w:pPr>
    </w:p>
    <w:tbl>
      <w:tblPr>
        <w:tblLayout w:type="fixed"/>
        <w:tblInd w:w="824" w:type="dxa"/>
        <w:tblCellMar>
          <w:top w:w="0" w:type="dxa"/>
          <w:left w:w="0" w:type="dxa"/>
          <w:bottom w:w="0" w:type="dxa"/>
          <w:right w:w="0" w:type="dxa"/>
        </w:tblCellMar>
      </w:tblPr>
      <w:tr>
        <w:trPr>
          <w:trHeight w:val="216"/>
        </w:trPr>
        <w:tc>
          <w:tcPr>
            <w:tcW w:w="440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jc w:val="right"/>
              <w:ind w:right="850"/>
              <w:spacing w:after="0"/>
              <w:rPr>
                <w:sz w:val="20"/>
                <w:szCs w:val="20"/>
                <w:color w:val="auto"/>
              </w:rPr>
            </w:pPr>
            <w:r>
              <w:rPr>
                <w:rFonts w:ascii="Arial" w:cs="Arial" w:eastAsia="Arial" w:hAnsi="Arial"/>
                <w:sz w:val="18"/>
                <w:szCs w:val="18"/>
                <w:b w:val="1"/>
                <w:bCs w:val="1"/>
                <w:color w:val="auto"/>
              </w:rPr>
              <w:t>45-5538095</w:t>
            </w:r>
          </w:p>
        </w:tc>
      </w:tr>
      <w:tr>
        <w:trPr>
          <w:trHeight w:val="234"/>
        </w:trPr>
        <w:tc>
          <w:tcPr>
            <w:tcW w:w="440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41"/>
        </w:trPr>
        <w:tc>
          <w:tcPr>
            <w:tcW w:w="440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14000 Carlson Parkway</w:t>
            </w:r>
          </w:p>
        </w:tc>
        <w:tc>
          <w:tcPr>
            <w:tcW w:w="3740" w:type="dxa"/>
            <w:vAlign w:val="bottom"/>
          </w:tcPr>
          <w:p>
            <w:pPr>
              <w:spacing w:after="0"/>
              <w:rPr>
                <w:sz w:val="24"/>
                <w:szCs w:val="24"/>
                <w:color w:val="auto"/>
              </w:rPr>
            </w:pPr>
          </w:p>
        </w:tc>
      </w:tr>
      <w:tr>
        <w:trPr>
          <w:trHeight w:val="216"/>
        </w:trPr>
        <w:tc>
          <w:tcPr>
            <w:tcW w:w="440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Plymouth, Minnesota</w:t>
            </w:r>
          </w:p>
        </w:tc>
        <w:tc>
          <w:tcPr>
            <w:tcW w:w="3740" w:type="dxa"/>
            <w:vAlign w:val="bottom"/>
          </w:tcPr>
          <w:p>
            <w:pPr>
              <w:jc w:val="right"/>
              <w:ind w:right="1050"/>
              <w:spacing w:after="0"/>
              <w:rPr>
                <w:sz w:val="20"/>
                <w:szCs w:val="20"/>
                <w:color w:val="auto"/>
              </w:rPr>
            </w:pPr>
            <w:r>
              <w:rPr>
                <w:rFonts w:ascii="Arial" w:cs="Arial" w:eastAsia="Arial" w:hAnsi="Arial"/>
                <w:sz w:val="18"/>
                <w:szCs w:val="18"/>
                <w:b w:val="1"/>
                <w:bCs w:val="1"/>
                <w:color w:val="auto"/>
              </w:rPr>
              <w:t>55441</w:t>
            </w:r>
          </w:p>
        </w:tc>
      </w:tr>
      <w:tr>
        <w:trPr>
          <w:trHeight w:val="234"/>
        </w:trPr>
        <w:tc>
          <w:tcPr>
            <w:tcW w:w="4400" w:type="dxa"/>
            <w:vAlign w:val="bottom"/>
          </w:tcPr>
          <w:p>
            <w:pPr>
              <w:jc w:val="center"/>
              <w:ind w:righ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ind w:right="36"/>
        <w:spacing w:after="0"/>
        <w:rPr>
          <w:sz w:val="20"/>
          <w:szCs w:val="20"/>
          <w:color w:val="auto"/>
        </w:rPr>
      </w:pPr>
      <w:r>
        <w:rPr>
          <w:rFonts w:ascii="Arial" w:cs="Arial" w:eastAsia="Arial" w:hAnsi="Arial"/>
          <w:sz w:val="18"/>
          <w:szCs w:val="18"/>
          <w:b w:val="1"/>
          <w:bCs w:val="1"/>
          <w:color w:val="auto"/>
        </w:rPr>
        <w:t>(763) 852-2950</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29" w:lineRule="exact"/>
        <w:rPr>
          <w:sz w:val="24"/>
          <w:szCs w:val="24"/>
          <w:color w:val="auto"/>
        </w:rPr>
      </w:pPr>
    </w:p>
    <w:p>
      <w:pPr>
        <w:ind w:left="4"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jc w:val="both"/>
        <w:ind w:left="4" w:right="260"/>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15" w:lineRule="exact"/>
        <w:rPr>
          <w:sz w:val="24"/>
          <w:szCs w:val="24"/>
          <w:color w:val="auto"/>
        </w:rPr>
      </w:pPr>
    </w:p>
    <w:p>
      <w:pPr>
        <w:ind w:left="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04"/>
          </w:cols>
          <w:pgMar w:left="896" w:top="702" w:right="899" w:bottom="1440" w:gutter="0" w:footer="0" w:header="0"/>
        </w:sectPr>
      </w:pPr>
    </w:p>
    <w:p>
      <w:pPr>
        <w:spacing w:after="0" w:line="127" w:lineRule="exact"/>
        <w:rPr>
          <w:sz w:val="24"/>
          <w:szCs w:val="24"/>
          <w:color w:val="auto"/>
        </w:rPr>
      </w:pPr>
    </w:p>
    <w:p>
      <w:pPr>
        <w:ind w:left="4"/>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ind w:left="4"/>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207" w:lineRule="exact"/>
        <w:tabs>
          <w:tab w:leader="none" w:pos="5400" w:val="left"/>
          <w:tab w:leader="none" w:pos="75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tabs>
          <w:tab w:leader="none" w:pos="54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r>
        <w:rPr>
          <w:sz w:val="20"/>
          <w:szCs w:val="20"/>
          <w:color w:val="auto"/>
        </w:rPr>
        <w:tab/>
      </w: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4" w:lineRule="exact"/>
        <w:rPr>
          <w:sz w:val="24"/>
          <w:szCs w:val="24"/>
          <w:color w:val="auto"/>
        </w:rPr>
      </w:pPr>
    </w:p>
    <w:p>
      <w:pPr>
        <w:sectPr>
          <w:pgSz w:w="11900" w:h="16838" w:orient="portrait"/>
          <w:cols w:equalWidth="0" w:num="2">
            <w:col w:w="1964" w:space="320"/>
            <w:col w:w="7820"/>
          </w:cols>
          <w:pgMar w:left="896" w:top="702" w:right="899" w:bottom="1440" w:gutter="0" w:footer="0" w:header="0"/>
          <w:type w:val="continuous"/>
        </w:sectPr>
      </w:pPr>
    </w:p>
    <w:p>
      <w:pPr>
        <w:ind w:left="4" w:right="4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0" w:lineRule="exact"/>
        <w:rPr>
          <w:sz w:val="24"/>
          <w:szCs w:val="24"/>
          <w:color w:val="auto"/>
        </w:rPr>
      </w:pPr>
    </w:p>
    <w:p>
      <w:pPr>
        <w:ind w:left="4" w:right="800"/>
        <w:spacing w:after="0" w:line="31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As of July 31, 2017, there were 51,923,761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6423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905510</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702" w:right="8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17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w:t>
            </w:r>
          </w:p>
        </w:tc>
      </w:tr>
      <w:tr>
        <w:trPr>
          <w:trHeight w:val="190"/>
        </w:trPr>
        <w:tc>
          <w:tcPr>
            <w:tcW w:w="120" w:type="dxa"/>
            <w:vAlign w:val="bottom"/>
            <w:shd w:val="clear" w:color="auto" w:fill="CCEEFF"/>
          </w:tcPr>
          <w:p>
            <w:pPr>
              <w:spacing w:after="0"/>
              <w:rPr>
                <w:sz w:val="16"/>
                <w:szCs w:val="16"/>
                <w:color w:val="auto"/>
              </w:rPr>
            </w:pPr>
          </w:p>
        </w:tc>
        <w:tc>
          <w:tcPr>
            <w:tcW w:w="9180" w:type="dxa"/>
            <w:vAlign w:val="bottom"/>
            <w:gridSpan w:val="24"/>
            <w:shd w:val="clear" w:color="auto" w:fill="CCEEFF"/>
          </w:tcPr>
          <w:p>
            <w:pPr>
              <w:spacing w:after="0" w:line="15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820" w:type="dxa"/>
            <w:vAlign w:val="bottom"/>
            <w:shd w:val="clear" w:color="auto" w:fill="CCEEFF"/>
          </w:tcPr>
          <w:p>
            <w:pPr>
              <w:spacing w:after="0"/>
              <w:rPr>
                <w:sz w:val="16"/>
                <w:szCs w:val="16"/>
                <w:color w:val="auto"/>
              </w:rPr>
            </w:pPr>
          </w:p>
        </w:tc>
      </w:tr>
      <w:tr>
        <w:trPr>
          <w:trHeight w:val="176"/>
        </w:trPr>
        <w:tc>
          <w:tcPr>
            <w:tcW w:w="120" w:type="dxa"/>
            <w:vAlign w:val="bottom"/>
            <w:tcBorders>
              <w:top w:val="single" w:sz="8" w:color="CCEEFF"/>
            </w:tcBorders>
          </w:tcPr>
          <w:p>
            <w:pPr>
              <w:spacing w:after="0"/>
              <w:rPr>
                <w:sz w:val="15"/>
                <w:szCs w:val="15"/>
                <w:color w:val="auto"/>
              </w:rPr>
            </w:pPr>
          </w:p>
        </w:tc>
        <w:tc>
          <w:tcPr>
            <w:tcW w:w="76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2300" w:type="dxa"/>
            <w:vAlign w:val="bottom"/>
            <w:tcBorders>
              <w:top w:val="single" w:sz="8" w:color="0000EE"/>
            </w:tcBorders>
            <w:gridSpan w:val="11"/>
          </w:tcPr>
          <w:p>
            <w:pPr>
              <w:ind w:left="2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120" w:type="dxa"/>
            <w:vAlign w:val="bottom"/>
            <w:tcBorders>
              <w:top w:val="single" w:sz="8" w:color="CCEEFF"/>
            </w:tcBorders>
            <w:gridSpan w:val="10"/>
          </w:tcPr>
          <w:p>
            <w:pPr>
              <w:spacing w:after="0"/>
              <w:rPr>
                <w:sz w:val="15"/>
                <w:szCs w:val="15"/>
                <w:color w:val="auto"/>
              </w:rPr>
            </w:pPr>
          </w:p>
        </w:tc>
        <w:tc>
          <w:tcPr>
            <w:tcW w:w="8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20" w:type="dxa"/>
            <w:vAlign w:val="bottom"/>
            <w:gridSpan w:val="21"/>
            <w:shd w:val="clear" w:color="auto" w:fill="CCEEFF"/>
          </w:tcPr>
          <w:p>
            <w:pPr>
              <w:ind w:left="2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20" w:type="dxa"/>
            <w:vAlign w:val="bottom"/>
            <w:gridSpan w:val="21"/>
          </w:tcPr>
          <w:p>
            <w:pPr>
              <w:ind w:left="2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20" w:type="dxa"/>
            <w:vAlign w:val="bottom"/>
            <w:gridSpan w:val="21"/>
            <w:shd w:val="clear" w:color="auto" w:fill="CCEEFF"/>
          </w:tcPr>
          <w:p>
            <w:pPr>
              <w:ind w:left="20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20" w:type="dxa"/>
            <w:vAlign w:val="bottom"/>
            <w:gridSpan w:val="21"/>
          </w:tcPr>
          <w:p>
            <w:pPr>
              <w:ind w:left="2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Stockholders’ Equity (Deficit)</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20" w:type="dxa"/>
            <w:vAlign w:val="bottom"/>
            <w:gridSpan w:val="21"/>
            <w:shd w:val="clear" w:color="auto" w:fill="CCEEFF"/>
          </w:tcPr>
          <w:p>
            <w:pPr>
              <w:ind w:left="20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20" w:type="dxa"/>
            <w:vAlign w:val="bottom"/>
            <w:gridSpan w:val="21"/>
          </w:tcPr>
          <w:p>
            <w:pPr>
              <w:ind w:left="2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8420" w:type="dxa"/>
            <w:vAlign w:val="bottom"/>
            <w:gridSpan w:val="21"/>
            <w:shd w:val="clear" w:color="auto" w:fill="CCEEFF"/>
          </w:tcPr>
          <w:p>
            <w:pPr>
              <w:ind w:left="20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8420" w:type="dxa"/>
            <w:vAlign w:val="bottom"/>
            <w:gridSpan w:val="21"/>
          </w:tcPr>
          <w:p>
            <w:pPr>
              <w:ind w:left="20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8420" w:type="dxa"/>
            <w:vAlign w:val="bottom"/>
            <w:gridSpan w:val="21"/>
            <w:shd w:val="clear" w:color="auto" w:fill="CCEEFF"/>
          </w:tcPr>
          <w:p>
            <w:pPr>
              <w:ind w:left="20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9180" w:type="dxa"/>
            <w:vAlign w:val="bottom"/>
            <w:gridSpan w:val="24"/>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OTHER INFORMATION</w:t>
              </w:r>
            </w:hyperlink>
          </w:p>
        </w:tc>
        <w:tc>
          <w:tcPr>
            <w:tcW w:w="8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w:t>
              </w:r>
            </w:hyperlink>
          </w:p>
        </w:tc>
        <w:tc>
          <w:tcPr>
            <w:tcW w:w="8420" w:type="dxa"/>
            <w:vAlign w:val="bottom"/>
            <w:gridSpan w:val="21"/>
            <w:shd w:val="clear" w:color="auto" w:fill="CCEEFF"/>
          </w:tcPr>
          <w:p>
            <w:pPr>
              <w:ind w:left="2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8420" w:type="dxa"/>
            <w:vAlign w:val="bottom"/>
            <w:gridSpan w:val="21"/>
          </w:tcPr>
          <w:p>
            <w:pPr>
              <w:ind w:left="2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8420" w:type="dxa"/>
            <w:vAlign w:val="bottom"/>
            <w:gridSpan w:val="21"/>
            <w:shd w:val="clear" w:color="auto" w:fill="CCEEFF"/>
          </w:tcPr>
          <w:p>
            <w:pPr>
              <w:ind w:left="2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8420" w:type="dxa"/>
            <w:vAlign w:val="bottom"/>
            <w:gridSpan w:val="21"/>
          </w:tcPr>
          <w:p>
            <w:pPr>
              <w:ind w:left="2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8420" w:type="dxa"/>
            <w:vAlign w:val="bottom"/>
            <w:gridSpan w:val="21"/>
            <w:shd w:val="clear" w:color="auto" w:fill="CCEEFF"/>
          </w:tcPr>
          <w:p>
            <w:pPr>
              <w:ind w:left="2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8420" w:type="dxa"/>
            <w:vAlign w:val="bottom"/>
            <w:gridSpan w:val="21"/>
          </w:tcPr>
          <w:p>
            <w:pPr>
              <w:ind w:left="2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6.</w:t>
              </w:r>
            </w:hyperlink>
          </w:p>
        </w:tc>
        <w:tc>
          <w:tcPr>
            <w:tcW w:w="8420" w:type="dxa"/>
            <w:vAlign w:val="bottom"/>
            <w:gridSpan w:val="21"/>
            <w:shd w:val="clear" w:color="auto" w:fill="CCEEFF"/>
          </w:tcPr>
          <w:p>
            <w:pPr>
              <w:ind w:left="20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tcBorders>
              <w:bottom w:val="single" w:sz="8" w:color="0000EE"/>
            </w:tcBorders>
            <w:gridSpan w:val="3"/>
          </w:tcPr>
          <w:p>
            <w:pPr>
              <w:spacing w:after="0" w:line="176"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Signatures</w:t>
              </w:r>
            </w:hyperlink>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9180" w:type="dxa"/>
            <w:vAlign w:val="bottom"/>
            <w:gridSpan w:val="2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 Index</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980" w:type="dxa"/>
            <w:vAlign w:val="bottom"/>
          </w:tcPr>
          <w:p>
            <w:pPr>
              <w:jc w:val="center"/>
              <w:ind w:left="135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980" w:type="dxa"/>
            <w:vAlign w:val="bottom"/>
          </w:tcPr>
          <w:p>
            <w:pPr>
              <w:jc w:val="center"/>
              <w:ind w:left="1350"/>
              <w:spacing w:after="0"/>
              <w:rPr>
                <w:sz w:val="20"/>
                <w:szCs w:val="20"/>
                <w:color w:val="auto"/>
              </w:rPr>
            </w:pPr>
            <w:r>
              <w:rPr>
                <w:rFonts w:ascii="Arial" w:cs="Arial" w:eastAsia="Arial" w:hAnsi="Arial"/>
                <w:sz w:val="18"/>
                <w:szCs w:val="18"/>
                <w:color w:val="auto"/>
                <w:w w:val="88"/>
              </w:rPr>
              <w:t>Consolidated Balance Sheets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980" w:type="dxa"/>
            <w:vAlign w:val="bottom"/>
          </w:tcPr>
          <w:p>
            <w:pPr>
              <w:jc w:val="center"/>
              <w:ind w:left="1350"/>
              <w:spacing w:after="0"/>
              <w:rPr>
                <w:sz w:val="20"/>
                <w:szCs w:val="20"/>
                <w:color w:val="auto"/>
              </w:rPr>
            </w:pPr>
            <w:r>
              <w:rPr>
                <w:rFonts w:ascii="Arial" w:cs="Arial" w:eastAsia="Arial" w:hAnsi="Arial"/>
                <w:sz w:val="18"/>
                <w:szCs w:val="18"/>
                <w:color w:val="auto"/>
                <w:w w:val="88"/>
              </w:rPr>
              <w:t>(dollars in thousands, except share and per share data)</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(unaudited)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2"/>
              </w:rPr>
              <w:t>(audited)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12,006</w:t>
            </w:r>
          </w:p>
        </w:tc>
        <w:tc>
          <w:tcPr>
            <w:tcW w:w="1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67,286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current assets, net</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147,941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141,037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Long-term restricted cash</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7"/>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257,608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265,273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19,443</w:t>
            </w: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Income tax payable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60,188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Capital lease obligation, net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3"/>
          </w:tcPr>
          <w:p>
            <w:pPr>
              <w:spacing w:after="0"/>
              <w:rPr>
                <w:sz w:val="20"/>
                <w:szCs w:val="20"/>
                <w:color w:val="auto"/>
              </w:rPr>
            </w:pPr>
            <w:r>
              <w:rPr>
                <w:rFonts w:ascii="Arial" w:cs="Arial" w:eastAsia="Arial" w:hAnsi="Arial"/>
                <w:sz w:val="18"/>
                <w:szCs w:val="18"/>
                <w:color w:val="auto"/>
              </w:rPr>
              <w:t>Common stock, par value $0.0001; authorized: 100,000,000 shares; issued and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3"/>
          </w:tcPr>
          <w:p>
            <w:pPr>
              <w:spacing w:after="0"/>
              <w:rPr>
                <w:sz w:val="20"/>
                <w:szCs w:val="20"/>
                <w:color w:val="auto"/>
              </w:rPr>
            </w:pPr>
            <w:r>
              <w:rPr>
                <w:rFonts w:ascii="Arial" w:cs="Arial" w:eastAsia="Arial" w:hAnsi="Arial"/>
                <w:sz w:val="18"/>
                <w:szCs w:val="18"/>
                <w:color w:val="auto"/>
              </w:rPr>
              <w:t>outstanding: 51,856,706 and 51,607,143 shares, respectively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Preferred stock, par value $0.0001; authorized: 10,000,000 shares; issued and outstanding: 0 shares</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182,491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185,998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138,899</w:t>
            </w:r>
          </w:p>
        </w:tc>
        <w:tc>
          <w:tcPr>
            <w:tcW w:w="0" w:type="dxa"/>
            <w:vAlign w:val="bottom"/>
          </w:tcPr>
          <w:p>
            <w:pPr>
              <w:spacing w:after="0"/>
              <w:rPr>
                <w:sz w:val="1"/>
                <w:szCs w:val="1"/>
                <w:color w:val="auto"/>
              </w:rPr>
            </w:pPr>
          </w:p>
        </w:tc>
      </w:tr>
      <w:tr>
        <w:trPr>
          <w:trHeight w:val="217"/>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257,608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265,273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408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140" w:type="dxa"/>
            <w:vAlign w:val="bottom"/>
            <w:gridSpan w:val="5"/>
          </w:tcPr>
          <w:p>
            <w:pPr>
              <w:jc w:val="center"/>
              <w:ind w:left="190"/>
              <w:spacing w:after="0"/>
              <w:rPr>
                <w:sz w:val="20"/>
                <w:szCs w:val="20"/>
                <w:color w:val="auto"/>
              </w:rPr>
            </w:pPr>
            <w:r>
              <w:rPr>
                <w:rFonts w:ascii="Arial" w:cs="Arial" w:eastAsia="Arial" w:hAnsi="Arial"/>
                <w:sz w:val="18"/>
                <w:szCs w:val="18"/>
                <w:color w:val="auto"/>
                <w:w w:val="89"/>
              </w:rPr>
              <w:t>Consolidated Statements of Operations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80" w:type="dxa"/>
            <w:vAlign w:val="bottom"/>
            <w:gridSpan w:val="7"/>
          </w:tcPr>
          <w:p>
            <w:pPr>
              <w:jc w:val="center"/>
              <w:ind w:right="640"/>
              <w:spacing w:after="0"/>
              <w:rPr>
                <w:sz w:val="20"/>
                <w:szCs w:val="20"/>
                <w:color w:val="auto"/>
              </w:rPr>
            </w:pPr>
            <w:r>
              <w:rPr>
                <w:rFonts w:ascii="Arial" w:cs="Arial" w:eastAsia="Arial" w:hAnsi="Arial"/>
                <w:sz w:val="18"/>
                <w:szCs w:val="18"/>
                <w:color w:val="auto"/>
                <w:w w:val="88"/>
              </w:rPr>
              <w:t>(dollars in thousands, except per share data)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80" w:type="dxa"/>
            <w:vAlign w:val="bottom"/>
            <w:gridSpan w:val="4"/>
          </w:tcPr>
          <w:p>
            <w:pPr>
              <w:jc w:val="center"/>
              <w:ind w:left="550"/>
              <w:spacing w:after="0"/>
              <w:rPr>
                <w:sz w:val="20"/>
                <w:szCs w:val="20"/>
                <w:color w:val="auto"/>
              </w:rPr>
            </w:pPr>
            <w:r>
              <w:rPr>
                <w:rFonts w:ascii="Arial" w:cs="Arial" w:eastAsia="Arial" w:hAnsi="Arial"/>
                <w:sz w:val="18"/>
                <w:szCs w:val="18"/>
                <w:color w:val="auto"/>
                <w:w w:val="90"/>
              </w:rPr>
              <w:t>(unaudited)</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right"/>
              <w:ind w:right="62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5"/>
          </w:tcPr>
          <w:p>
            <w:pPr>
              <w:jc w:val="right"/>
              <w:ind w:right="5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2016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181,599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1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27,116</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54,506</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2"/>
              </w:rPr>
              <w:t>Selling, general and administrative expenses</w:t>
            </w:r>
          </w:p>
        </w:tc>
        <w:tc>
          <w:tcPr>
            <w:tcW w:w="1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50,748</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46,990</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101,960</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(448)</w:t>
            </w:r>
          </w:p>
        </w:tc>
        <w:tc>
          <w:tcPr>
            <w:tcW w:w="3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(933)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11,214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24,298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(8,566)</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0" w:type="dxa"/>
            <w:vAlign w:val="bottom"/>
          </w:tcPr>
          <w:p>
            <w:pPr>
              <w:spacing w:after="0"/>
              <w:rPr>
                <w:sz w:val="1"/>
                <w:szCs w:val="1"/>
                <w:color w:val="auto"/>
              </w:rPr>
            </w:pPr>
          </w:p>
        </w:tc>
      </w:tr>
      <w:tr>
        <w:trPr>
          <w:trHeight w:val="217"/>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42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7,723</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Income per common share:</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9"/>
                <w:szCs w:val="19"/>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51,633,150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51,378,485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51,578,691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51,368,826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52,223,183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51,937,924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52,111,134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51,821,615</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jc w:val="right"/>
              <w:ind w:right="550"/>
              <w:spacing w:after="0"/>
              <w:rPr>
                <w:sz w:val="20"/>
                <w:szCs w:val="20"/>
                <w:color w:val="auto"/>
              </w:rPr>
            </w:pPr>
            <w:r>
              <w:rPr>
                <w:rFonts w:ascii="Arial" w:cs="Arial" w:eastAsia="Arial" w:hAnsi="Arial"/>
                <w:sz w:val="18"/>
                <w:szCs w:val="18"/>
                <w:color w:val="auto"/>
              </w:rPr>
              <w:t>Six Months Ended</w:t>
            </w:r>
          </w:p>
        </w:tc>
      </w:tr>
      <w:tr>
        <w:trPr>
          <w:trHeight w:val="230"/>
        </w:trPr>
        <w:tc>
          <w:tcPr>
            <w:tcW w:w="4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r>
      <w:tr>
        <w:trPr>
          <w:trHeight w:val="210"/>
        </w:trPr>
        <w:tc>
          <w:tcPr>
            <w:tcW w:w="47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7"/>
        </w:trPr>
        <w:tc>
          <w:tcPr>
            <w:tcW w:w="47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7,726</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15,740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00" w:type="dxa"/>
            <w:vAlign w:val="bottom"/>
          </w:tcPr>
          <w:p>
            <w:pPr>
              <w:spacing w:after="0"/>
              <w:rPr>
                <w:sz w:val="14"/>
                <w:szCs w:val="14"/>
                <w:color w:val="auto"/>
              </w:rPr>
            </w:pPr>
          </w:p>
        </w:tc>
        <w:tc>
          <w:tcPr>
            <w:tcW w:w="2060" w:type="dxa"/>
            <w:vAlign w:val="bottom"/>
            <w:gridSpan w:val="5"/>
          </w:tcPr>
          <w:p>
            <w:pPr>
              <w:ind w:left="56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12"/>
        </w:trPr>
        <w:tc>
          <w:tcPr>
            <w:tcW w:w="3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Accumulated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9"/>
        </w:trPr>
        <w:tc>
          <w:tcPr>
            <w:tcW w:w="3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7"/>
              </w:rPr>
              <w:t>Additional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Retained</w:t>
            </w:r>
          </w:p>
        </w:tc>
        <w:tc>
          <w:tcPr>
            <w:tcW w:w="12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other</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paid-in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0"/>
              </w:rPr>
              <w:t>Treasury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earnings</w:t>
            </w:r>
          </w:p>
        </w:tc>
        <w:tc>
          <w:tcPr>
            <w:tcW w:w="12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comprehensive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7"/>
        </w:trPr>
        <w:tc>
          <w:tcPr>
            <w:tcW w:w="3100" w:type="dxa"/>
            <w:vAlign w:val="bottom"/>
          </w:tcPr>
          <w:p>
            <w:pPr>
              <w:spacing w:after="0"/>
              <w:rPr>
                <w:sz w:val="14"/>
                <w:szCs w:val="14"/>
                <w:color w:val="auto"/>
              </w:rPr>
            </w:pPr>
          </w:p>
        </w:tc>
        <w:tc>
          <w:tcPr>
            <w:tcW w:w="1320" w:type="dxa"/>
            <w:vAlign w:val="bottom"/>
            <w:gridSpan w:val="2"/>
          </w:tcPr>
          <w:p>
            <w:pPr>
              <w:ind w:left="4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capital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units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income (loss)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color w:val="auto"/>
              </w:rPr>
              <w:t>Total</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51,437,973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79"/>
              </w:rPr>
              <w:t>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180,192</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115,201</w:t>
            </w:r>
          </w:p>
        </w:tc>
      </w:tr>
      <w:tr>
        <w:trPr>
          <w:trHeight w:val="229"/>
        </w:trPr>
        <w:tc>
          <w:tcPr>
            <w:tcW w:w="3100" w:type="dxa"/>
            <w:vAlign w:val="bottom"/>
          </w:tcPr>
          <w:p>
            <w:pPr>
              <w:spacing w:after="0"/>
              <w:rPr>
                <w:sz w:val="20"/>
                <w:szCs w:val="20"/>
                <w:color w:val="auto"/>
              </w:rPr>
            </w:pPr>
            <w:r>
              <w:rPr>
                <w:rFonts w:ascii="Arial" w:cs="Arial" w:eastAsia="Arial" w:hAnsi="Arial"/>
                <w:sz w:val="18"/>
                <w:szCs w:val="18"/>
                <w:color w:val="auto"/>
                <w:w w:val="97"/>
              </w:rPr>
              <w:t>Reclassification of impact of ASU 2016-</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09</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2016</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51,437,973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79"/>
              </w:rPr>
              <w:t>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180,879</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(65,521)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115,352</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73,384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Stock option exercises</w:t>
            </w:r>
          </w:p>
        </w:tc>
        <w:tc>
          <w:tcPr>
            <w:tcW w:w="1240" w:type="dxa"/>
            <w:vAlign w:val="bottom"/>
          </w:tcPr>
          <w:p>
            <w:pPr>
              <w:jc w:val="right"/>
              <w:spacing w:after="0"/>
              <w:rPr>
                <w:sz w:val="20"/>
                <w:szCs w:val="20"/>
                <w:color w:val="auto"/>
              </w:rPr>
            </w:pPr>
            <w:r>
              <w:rPr>
                <w:rFonts w:ascii="Arial" w:cs="Arial" w:eastAsia="Arial" w:hAnsi="Arial"/>
                <w:sz w:val="18"/>
                <w:szCs w:val="18"/>
                <w:color w:val="auto"/>
              </w:rPr>
              <w:t>95,786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786</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4"/>
              </w:rPr>
              <w:t>Foreign currency translation adjustments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18,463</w:t>
            </w:r>
          </w:p>
        </w:tc>
      </w:tr>
      <w:tr>
        <w:trPr>
          <w:trHeight w:val="230"/>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51,607,143</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79"/>
              </w:rPr>
              <w:t>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185,998</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138,899</w:t>
            </w:r>
          </w:p>
        </w:tc>
      </w:tr>
      <w:tr>
        <w:trPr>
          <w:trHeight w:val="203"/>
        </w:trPr>
        <w:tc>
          <w:tcPr>
            <w:tcW w:w="3100" w:type="dxa"/>
            <w:vAlign w:val="bottom"/>
          </w:tcPr>
          <w:p>
            <w:pPr>
              <w:spacing w:after="0" w:line="203" w:lineRule="exact"/>
              <w:rPr>
                <w:sz w:val="20"/>
                <w:szCs w:val="20"/>
                <w:color w:val="auto"/>
              </w:rPr>
            </w:pPr>
            <w:r>
              <w:rPr>
                <w:rFonts w:ascii="Arial" w:cs="Arial" w:eastAsia="Arial" w:hAnsi="Arial"/>
                <w:sz w:val="18"/>
                <w:szCs w:val="18"/>
                <w:color w:val="auto"/>
              </w:rPr>
              <w:t>Issuance of restricted shares</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94,317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ind w:left="311"/>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restricted shares</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1,770</w:t>
            </w: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162,518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Dividends paid</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(5,168)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(5,168)</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4"/>
              </w:rPr>
              <w:t>Foreign currency translation adjustments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15,732</w:t>
            </w:r>
          </w:p>
        </w:tc>
      </w:tr>
      <w:tr>
        <w:trPr>
          <w:trHeight w:val="217"/>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51,856,706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79"/>
              </w:rPr>
              <w:t>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182,491</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151,132</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38"/>
        </w:trPr>
        <w:tc>
          <w:tcPr>
            <w:tcW w:w="1340" w:type="dxa"/>
            <w:vAlign w:val="bottom"/>
            <w:tcBorders>
              <w:top w:val="single" w:sz="8" w:color="0000EE"/>
            </w:tcBorders>
          </w:tcPr>
          <w:p>
            <w:pPr>
              <w:spacing w:after="0"/>
              <w:rPr>
                <w:sz w:val="24"/>
                <w:szCs w:val="24"/>
                <w:color w:val="auto"/>
              </w:rPr>
            </w:pPr>
          </w:p>
        </w:tc>
        <w:tc>
          <w:tcPr>
            <w:tcW w:w="5940" w:type="dxa"/>
            <w:vAlign w:val="bottom"/>
          </w:tcPr>
          <w:p>
            <w:pPr>
              <w:jc w:val="center"/>
              <w:ind w:left="139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5940" w:type="dxa"/>
            <w:vAlign w:val="bottom"/>
          </w:tcPr>
          <w:p>
            <w:pPr>
              <w:jc w:val="center"/>
              <w:ind w:left="1390"/>
              <w:spacing w:after="0"/>
              <w:rPr>
                <w:sz w:val="20"/>
                <w:szCs w:val="20"/>
                <w:color w:val="auto"/>
              </w:rPr>
            </w:pPr>
            <w:r>
              <w:rPr>
                <w:rFonts w:ascii="Arial" w:cs="Arial" w:eastAsia="Arial" w:hAnsi="Arial"/>
                <w:sz w:val="18"/>
                <w:szCs w:val="18"/>
                <w:color w:val="auto"/>
                <w:w w:val="89"/>
              </w:rPr>
              <w:t>Consolidated Statements of Cash Flows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5940" w:type="dxa"/>
            <w:vAlign w:val="bottom"/>
          </w:tcPr>
          <w:p>
            <w:pPr>
              <w:ind w:left="2960"/>
              <w:spacing w:after="0"/>
              <w:rPr>
                <w:sz w:val="20"/>
                <w:szCs w:val="20"/>
                <w:color w:val="auto"/>
              </w:rPr>
            </w:pPr>
            <w:r>
              <w:rPr>
                <w:rFonts w:ascii="Arial" w:cs="Arial" w:eastAsia="Arial" w:hAnsi="Arial"/>
                <w:sz w:val="18"/>
                <w:szCs w:val="18"/>
                <w:color w:val="auto"/>
              </w:rPr>
              <w:t>(dollars in thousands)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5940" w:type="dxa"/>
            <w:vAlign w:val="bottom"/>
          </w:tcPr>
          <w:p>
            <w:pPr>
              <w:jc w:val="center"/>
              <w:ind w:left="139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99"/>
        </w:trPr>
        <w:tc>
          <w:tcPr>
            <w:tcW w:w="13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jc w:val="right"/>
              <w:ind w:right="550"/>
              <w:spacing w:after="0"/>
              <w:rPr>
                <w:sz w:val="20"/>
                <w:szCs w:val="20"/>
                <w:color w:val="auto"/>
              </w:rPr>
            </w:pPr>
            <w:r>
              <w:rPr>
                <w:rFonts w:ascii="Arial" w:cs="Arial" w:eastAsia="Arial" w:hAnsi="Arial"/>
                <w:sz w:val="18"/>
                <w:szCs w:val="18"/>
                <w:color w:val="auto"/>
              </w:rPr>
              <w:t>Six Months Ended</w:t>
            </w:r>
          </w:p>
        </w:tc>
      </w:tr>
      <w:tr>
        <w:trPr>
          <w:trHeight w:val="230"/>
        </w:trPr>
        <w:tc>
          <w:tcPr>
            <w:tcW w:w="134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r>
      <w:tr>
        <w:trPr>
          <w:trHeight w:val="210"/>
        </w:trPr>
        <w:tc>
          <w:tcPr>
            <w:tcW w:w="1340" w:type="dxa"/>
            <w:vAlign w:val="bottom"/>
            <w:tcBorders>
              <w:bottom w:val="single" w:sz="8" w:color="CCEEFF"/>
            </w:tcBorders>
          </w:tcPr>
          <w:p>
            <w:pPr>
              <w:spacing w:after="0"/>
              <w:rPr>
                <w:sz w:val="18"/>
                <w:szCs w:val="18"/>
                <w:color w:val="auto"/>
              </w:rPr>
            </w:pPr>
          </w:p>
        </w:tc>
        <w:tc>
          <w:tcPr>
            <w:tcW w:w="59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728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15,732</w:t>
            </w:r>
          </w:p>
        </w:tc>
        <w:tc>
          <w:tcPr>
            <w:tcW w:w="80" w:type="dxa"/>
            <w:vAlign w:val="bottom"/>
          </w:tcPr>
          <w:p>
            <w:pPr>
              <w:spacing w:after="0"/>
              <w:rPr>
                <w:sz w:val="19"/>
                <w:szCs w:val="19"/>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13,607</w:t>
            </w:r>
          </w:p>
        </w:tc>
      </w:tr>
      <w:tr>
        <w:trPr>
          <w:trHeight w:val="230"/>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280" w:type="dxa"/>
            <w:vAlign w:val="bottom"/>
            <w:gridSpan w:val="2"/>
          </w:tcPr>
          <w:p>
            <w:pPr>
              <w:ind w:left="420"/>
              <w:spacing w:after="0"/>
              <w:rPr>
                <w:sz w:val="20"/>
                <w:szCs w:val="20"/>
                <w:color w:val="auto"/>
              </w:rPr>
            </w:pPr>
            <w:r>
              <w:rPr>
                <w:rFonts w:ascii="Arial" w:cs="Arial" w:eastAsia="Arial" w:hAnsi="Arial"/>
                <w:sz w:val="18"/>
                <w:szCs w:val="18"/>
                <w:color w:val="auto"/>
              </w:rPr>
              <w:t>Depreciation &amp; amortization</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12,592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11,184</w:t>
            </w:r>
          </w:p>
        </w:tc>
      </w:tr>
      <w:tr>
        <w:trPr>
          <w:trHeight w:val="230"/>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7280" w:type="dxa"/>
            <w:vAlign w:val="bottom"/>
            <w:gridSpan w:val="2"/>
          </w:tcPr>
          <w:p>
            <w:pPr>
              <w:ind w:left="420"/>
              <w:spacing w:after="0"/>
              <w:rPr>
                <w:sz w:val="20"/>
                <w:szCs w:val="20"/>
                <w:color w:val="auto"/>
              </w:rPr>
            </w:pPr>
            <w:r>
              <w:rPr>
                <w:rFonts w:ascii="Arial" w:cs="Arial" w:eastAsia="Arial" w:hAnsi="Arial"/>
                <w:sz w:val="18"/>
                <w:szCs w:val="18"/>
                <w:color w:val="auto"/>
              </w:rPr>
              <w:t>Loss on disposals of property, plant and equipment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30"/>
        </w:trPr>
        <w:tc>
          <w:tcPr>
            <w:tcW w:w="7280" w:type="dxa"/>
            <w:vAlign w:val="bottom"/>
            <w:gridSpan w:val="2"/>
          </w:tcPr>
          <w:p>
            <w:pPr>
              <w:ind w:left="42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2,464</w:t>
            </w:r>
          </w:p>
        </w:tc>
      </w:tr>
      <w:tr>
        <w:trPr>
          <w:trHeight w:val="230"/>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30"/>
        </w:trPr>
        <w:tc>
          <w:tcPr>
            <w:tcW w:w="7280" w:type="dxa"/>
            <w:vAlign w:val="bottom"/>
            <w:gridSpan w:val="2"/>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Trade receivables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30"/>
        </w:trPr>
        <w:tc>
          <w:tcPr>
            <w:tcW w:w="7280" w:type="dxa"/>
            <w:vAlign w:val="bottom"/>
            <w:gridSpan w:val="2"/>
          </w:tcPr>
          <w:p>
            <w:pPr>
              <w:ind w:left="6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6,746</w:t>
            </w:r>
          </w:p>
        </w:tc>
      </w:tr>
      <w:tr>
        <w:trPr>
          <w:trHeight w:val="230"/>
        </w:trPr>
        <w:tc>
          <w:tcPr>
            <w:tcW w:w="7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r>
      <w:tr>
        <w:trPr>
          <w:trHeight w:val="230"/>
        </w:trPr>
        <w:tc>
          <w:tcPr>
            <w:tcW w:w="7280" w:type="dxa"/>
            <w:vAlign w:val="bottom"/>
            <w:gridSpan w:val="2"/>
          </w:tcPr>
          <w:p>
            <w:pPr>
              <w:ind w:left="6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30"/>
        </w:trPr>
        <w:tc>
          <w:tcPr>
            <w:tcW w:w="7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Income tax receivable / payable</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280" w:type="dxa"/>
            <w:vAlign w:val="bottom"/>
            <w:gridSpan w:val="2"/>
          </w:tcPr>
          <w:p>
            <w:pPr>
              <w:ind w:left="6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(10,747)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3,236</w:t>
            </w:r>
          </w:p>
        </w:tc>
      </w:tr>
      <w:tr>
        <w:trPr>
          <w:trHeight w:val="210"/>
        </w:trPr>
        <w:tc>
          <w:tcPr>
            <w:tcW w:w="7280" w:type="dxa"/>
            <w:vAlign w:val="bottom"/>
            <w:tcBorders>
              <w:top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40,761</w:t>
            </w:r>
          </w:p>
        </w:tc>
      </w:tr>
      <w:tr>
        <w:trPr>
          <w:trHeight w:val="210"/>
        </w:trPr>
        <w:tc>
          <w:tcPr>
            <w:tcW w:w="7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7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r>
      <w:tr>
        <w:trPr>
          <w:trHeight w:val="210"/>
        </w:trPr>
        <w:tc>
          <w:tcPr>
            <w:tcW w:w="7280" w:type="dxa"/>
            <w:vAlign w:val="bottom"/>
            <w:tcBorders>
              <w:bottom w:val="single" w:sz="8" w:color="CCEEFF"/>
            </w:tcBorders>
            <w:gridSpan w:val="2"/>
          </w:tcPr>
          <w:p>
            <w:pPr>
              <w:ind w:left="8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(11,703)</w:t>
            </w: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7280" w:type="dxa"/>
            <w:vAlign w:val="bottom"/>
            <w:gridSpan w:val="2"/>
          </w:tcPr>
          <w:p>
            <w:pPr>
              <w:ind w:left="220"/>
              <w:spacing w:after="0"/>
              <w:rPr>
                <w:sz w:val="20"/>
                <w:szCs w:val="20"/>
                <w:color w:val="auto"/>
              </w:rPr>
            </w:pPr>
            <w:r>
              <w:rPr>
                <w:rFonts w:ascii="Arial" w:cs="Arial" w:eastAsia="Arial" w:hAnsi="Arial"/>
                <w:sz w:val="18"/>
                <w:szCs w:val="18"/>
                <w:color w:val="auto"/>
              </w:rPr>
              <w:t>Release of restricted cash</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Payments of long-term debt and capital lease obligations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(34,646)</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(26,301)</w:t>
            </w:r>
          </w:p>
        </w:tc>
      </w:tr>
      <w:tr>
        <w:trPr>
          <w:trHeight w:val="230"/>
        </w:trPr>
        <w:tc>
          <w:tcPr>
            <w:tcW w:w="7280" w:type="dxa"/>
            <w:vAlign w:val="bottom"/>
            <w:gridSpan w:val="2"/>
          </w:tcPr>
          <w:p>
            <w:pPr>
              <w:ind w:left="220"/>
              <w:spacing w:after="0"/>
              <w:rPr>
                <w:sz w:val="20"/>
                <w:szCs w:val="20"/>
                <w:color w:val="auto"/>
              </w:rPr>
            </w:pPr>
            <w:r>
              <w:rPr>
                <w:rFonts w:ascii="Arial" w:cs="Arial" w:eastAsia="Arial" w:hAnsi="Arial"/>
                <w:sz w:val="18"/>
                <w:szCs w:val="18"/>
                <w:color w:val="auto"/>
              </w:rPr>
              <w:t>Advances on line of credit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(5,168)</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gridSpan w:val="2"/>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7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taxes paid for shares withheld</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Security deposits</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7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(25,974)</w:t>
            </w:r>
          </w:p>
        </w:tc>
      </w:tr>
      <w:tr>
        <w:trPr>
          <w:trHeight w:val="210"/>
        </w:trPr>
        <w:tc>
          <w:tcPr>
            <w:tcW w:w="72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change in cash</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r>
      <w:tr>
        <w:trPr>
          <w:trHeight w:val="230"/>
        </w:trPr>
        <w:tc>
          <w:tcPr>
            <w:tcW w:w="7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6,067</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10,330</w:t>
            </w:r>
          </w:p>
        </w:tc>
      </w:tr>
      <w:tr>
        <w:trPr>
          <w:trHeight w:val="230"/>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12,006</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13,407</w:t>
            </w:r>
          </w:p>
        </w:tc>
      </w:tr>
      <w:tr>
        <w:trPr>
          <w:trHeight w:val="203"/>
        </w:trPr>
        <w:tc>
          <w:tcPr>
            <w:tcW w:w="7280" w:type="dxa"/>
            <w:vAlign w:val="bottom"/>
            <w:gridSpan w:val="2"/>
          </w:tcPr>
          <w:p>
            <w:pPr>
              <w:spacing w:after="0" w:line="203" w:lineRule="exact"/>
              <w:rPr>
                <w:sz w:val="20"/>
                <w:szCs w:val="20"/>
                <w:color w:val="auto"/>
              </w:rPr>
            </w:pPr>
            <w:r>
              <w:rPr>
                <w:rFonts w:ascii="Arial" w:cs="Arial" w:eastAsia="Arial" w:hAnsi="Arial"/>
                <w:sz w:val="18"/>
                <w:szCs w:val="18"/>
                <w:color w:val="auto"/>
              </w:rPr>
              <w:t>Supplemental disclosure of cash flow information</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7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Purchases of property, plant and equipment included in accounts payable and accrued expenses</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30"/>
        </w:trPr>
        <w:tc>
          <w:tcPr>
            <w:tcW w:w="7280" w:type="dxa"/>
            <w:vAlign w:val="bottom"/>
            <w:gridSpan w:val="2"/>
          </w:tcPr>
          <w:p>
            <w:pPr>
              <w:ind w:left="220"/>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30"/>
        </w:trPr>
        <w:tc>
          <w:tcPr>
            <w:tcW w:w="7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paid for income taxes, net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22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Tile Shop, LLC (“The Tile Shop”) was formed on December 30, 2002, as a Delaware limited liability company and began operations on January 1, 2003. Tile Shop Holdings, Inc. (“Holdings,” and together with its wholly owned subsidiaries, the “Company”) was incorporated under the laws of the state of Delaware in June 2012 to become the parent company of The Tile Shop, LLC.</w:t>
      </w:r>
    </w:p>
    <w:p>
      <w:pPr>
        <w:spacing w:after="0" w:line="14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Company is a specialty retailer of manufactured and natural stone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June 30, 2017, the Company had 130 stores in 31 states and the District of Columbia, as well as an on-line retail operation. The Company also has distribution centers located in Michigan, New Jersey, Oklahoma, Virginia and Wisconsin. The Company has a sourcing operation located in China.</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six months ended June 30, 2017 are not necessarily indicative of the results that may be expected for the fiscal year ending December 31, 2017.</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statements should be read in conjunction with the Consolidated Financial Statements and footnotes included in our Annual Report on Form 10-K for the fiscal year ended December 31, 2016. The accounting policies used in preparing these Consolidated Financial Statements are the same as those described in Note 1 to the Consolidated Financial Statements in such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July 2015, the Financial Accounting Standards Board (“FASB”) issued a standard which simplifies the subsequent measurement of inventory. Previously, an entity was required to measure inventory at the lower of cost or market, whereby market can be replacement cost, net realizable value, or net realizable value less an approximately normal profit margin. The changes required that inventory be measured at the lower of cost and net realizable value, thereby eliminating the use of the other two market methodologies. Net realizable value is defined as the estimated selling prices in the ordinary course of business less reasonably predictable costs of completion, disposal, and transportation. The standard was effective for the Company at the beginning of fiscal 2017. The adoption of this new standard did not have a material effect on the Company’s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 May 2014, the FASB issued a final standard on revenue from contracts with customers. This new standard introduces a comprehensive revenue recognition model that requires a company to recognize revenue to depict the transfer of goods or services to a customer at an amount that reflects the consideration it expects to receive in exchange for those goods or services. In 2016, the FASB issued several amendments to the standard, including principal versus agent considerations when another party is involved in providing goods or services to a customer, the application of identifying performance obligations, and the recognition of expected breakage amounts either proportionally in earnings as redemptions occur or when redemption is remote. Upon adoption of the standard, the Company expects to present the gross sales returns reserve as a component of other accrued liabilities and establish a return asset that will be classified as a component of other current assets, net in the Consolidated Balance Sheet. Currently, the Company presents its sales returns reserve net of the value of the return assets as a component of other accrued liabilities in the Consolidate Balance Sheet. The Company continues to assess the impact of other aspects of this standard. As the Company finalizes its assessment, the Company will take steps to finalize its accounting policies, establish new processes and controls when warranted, and ensure information is captured to conform with the disclosure requirements outlined under the new standard. The standard is effective for the Company in fiscal 2018 and provides for either full retrospective adoption or modified retrospective adoption by which the cumulative effect of the change is recognized in retained earnings at the date of initial application. The Company has elected to adopt this standard using the modified retrospective approach.</w:t>
      </w:r>
    </w:p>
    <w:p>
      <w:pPr>
        <w:spacing w:after="0" w:line="17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February 2016, the FASB issued a standard that primarily requires organizations that lease assets to recognize the rights and obligations created by those leases on the Consolidated Balance Sheet. The standard is effective in 2019, with early adoption permitted. The Company is currently assessing the effect the new standard will have on its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August 2016, the FASB issued an accounting standards update with new guidance on how certain cash receipts and cash payments are presented and classified in the statement of cash flows. The amendments in the standards update provide guidance on eight specific cash flow issues. The standards update is effective retrospectively for fiscal years and interim periods beginning after December 15, 2017, with early adoption permitted. The Company is currently assessing the effect the new standard will have on its consolidated financial statements.</w:t>
      </w:r>
    </w:p>
    <w:p>
      <w:pPr>
        <w:spacing w:after="0" w:line="15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November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on the statement of cash flows. The new standard is effective for fiscal years, and interim periods within those fiscal years, beginning after December 15, 2017, with early adoption permitted. The guidance should be applied retrospectively after adoption. The Company’s restricted cash balance was $0.9 million as of June 30, 2017. Upon adopting the new standard, the Company anticipates that it will no longer present the release of restricted cash as a financing cash inflow. Instead, restricted cash and long-term restricted cash balances will be included in the beginning and ending cash, cash equivalents and restricted cash balances in the statement of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Inventories</w:t>
      </w:r>
    </w:p>
    <w:p>
      <w:pPr>
        <w:spacing w:after="0" w:line="22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Inventories are stated at the lower of cost (determined on the weighted-average cost method) or market. Inventories consist primarily of merchandise held for sale. Inventories were comprised of the following as of June 30, 2017 and December 31, 2016: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5"/>
          </w:tcPr>
          <w:p>
            <w:pPr>
              <w:jc w:val="right"/>
              <w:ind w:right="710"/>
              <w:spacing w:after="0"/>
              <w:rPr>
                <w:sz w:val="20"/>
                <w:szCs w:val="20"/>
                <w:color w:val="auto"/>
              </w:rPr>
            </w:pPr>
            <w:r>
              <w:rPr>
                <w:rFonts w:ascii="Arial" w:cs="Arial" w:eastAsia="Arial" w:hAnsi="Arial"/>
                <w:sz w:val="18"/>
                <w:szCs w:val="18"/>
                <w:color w:val="auto"/>
              </w:rPr>
              <w:t>(in thousands)</w:t>
            </w:r>
          </w:p>
        </w:tc>
      </w:tr>
      <w:tr>
        <w:trPr>
          <w:trHeight w:val="230"/>
        </w:trPr>
        <w:tc>
          <w:tcPr>
            <w:tcW w:w="7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June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75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61,949</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Raw materials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2,312</w:t>
            </w:r>
          </w:p>
        </w:tc>
      </w:tr>
      <w:tr>
        <w:trPr>
          <w:trHeight w:val="23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in transit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r>
      <w:tr>
        <w:trPr>
          <w:trHeight w:val="217"/>
        </w:trPr>
        <w:tc>
          <w:tcPr>
            <w:tcW w:w="75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67,286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74,295</w:t>
            </w:r>
          </w:p>
        </w:tc>
      </w:tr>
    </w:tbl>
    <w:p>
      <w:pPr>
        <w:spacing w:after="0" w:line="20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records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$0.5 million and $0.2 million as of June 30, 2017 and December 31, 2016,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Income taxes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effective tax rate on net income before income taxes for the three months ended June 30, 2017 and 2016, was 31.1% and 39.4%, respectively. The improvement in the effective tax rate was due to increases in excess tax benefits recognized in connection with the exercise of non-qualified stock options and disqualifying dispositions of incentive stock options during the second quarter of 2017. For the three months ended June 30, 2017 and 2016, the Company recorded a provision for income taxes of $3.5 million and $4.4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Company's effective tax rate on net income before income taxes for the six months ended June 30, 2017 and 2016 was 35.3% and</w:t>
      </w:r>
    </w:p>
    <w:p>
      <w:pPr>
        <w:spacing w:after="0" w:line="46"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39.6%, respectively. The improvement in the effective tax rate is attributable to an increase in excess tax benefits recognized in connection with the exercise of non-qualified stock options and disqualifying dispositions of incentive options during 2017. For the six months ended June 30, 2017 and 2016, the Company recorded a provision for income taxes of $8.6 million and $8.9 million, respectively.</w:t>
      </w:r>
    </w:p>
    <w:p>
      <w:pPr>
        <w:spacing w:after="0" w:line="15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records interest and penalties relating to uncertain tax positions in income tax expense. As of June 30, 2017 and 2016, the Company has not recognized any liabilities for uncertain tax positions, nor have interest and penalties related to uncertain tax positions been accrued.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2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4"/>
          </w:tcPr>
          <w:p>
            <w:pPr>
              <w:jc w:val="right"/>
              <w:ind w:right="470"/>
              <w:spacing w:after="0"/>
              <w:rPr>
                <w:sz w:val="20"/>
                <w:szCs w:val="20"/>
                <w:color w:val="auto"/>
              </w:rPr>
            </w:pPr>
            <w:r>
              <w:rPr>
                <w:rFonts w:ascii="Arial" w:cs="Arial" w:eastAsia="Arial" w:hAnsi="Arial"/>
                <w:sz w:val="18"/>
                <w:szCs w:val="18"/>
                <w:color w:val="auto"/>
                <w:w w:val="99"/>
              </w:rPr>
              <w:t>(dollars in thousands)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4"/>
          </w:tcPr>
          <w:p>
            <w:pPr>
              <w:jc w:val="right"/>
              <w:ind w:right="210"/>
              <w:spacing w:after="0"/>
              <w:rPr>
                <w:sz w:val="20"/>
                <w:szCs w:val="20"/>
                <w:color w:val="auto"/>
              </w:rPr>
            </w:pPr>
            <w:r>
              <w:rPr>
                <w:rFonts w:ascii="Arial" w:cs="Arial" w:eastAsia="Arial" w:hAnsi="Arial"/>
                <w:sz w:val="18"/>
                <w:szCs w:val="18"/>
                <w:color w:val="auto"/>
                <w:w w:val="92"/>
              </w:rPr>
              <w:t>For the three months ended</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4"/>
          </w:tcPr>
          <w:p>
            <w:pPr>
              <w:jc w:val="center"/>
              <w:ind w:right="110"/>
              <w:spacing w:after="0"/>
              <w:rPr>
                <w:sz w:val="20"/>
                <w:szCs w:val="20"/>
                <w:color w:val="auto"/>
              </w:rPr>
            </w:pPr>
            <w:r>
              <w:rPr>
                <w:rFonts w:ascii="Arial" w:cs="Arial" w:eastAsia="Arial" w:hAnsi="Arial"/>
                <w:sz w:val="18"/>
                <w:szCs w:val="18"/>
                <w:color w:val="auto"/>
                <w:w w:val="89"/>
              </w:rPr>
              <w:t>For the six months ended</w:t>
            </w:r>
          </w:p>
        </w:tc>
      </w:tr>
      <w:tr>
        <w:trPr>
          <w:trHeight w:val="230"/>
        </w:trPr>
        <w:tc>
          <w:tcPr>
            <w:tcW w:w="4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6"/>
              </w:rPr>
              <w:t>June 30,</w:t>
            </w:r>
          </w:p>
        </w:tc>
      </w:tr>
      <w:tr>
        <w:trPr>
          <w:trHeight w:val="210"/>
        </w:trPr>
        <w:tc>
          <w:tcPr>
            <w:tcW w:w="4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Weighted average basic shares outstanding</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51,633,150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51,378,485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51,578,691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51,368,826</w:t>
            </w: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dilutive securities attributable to stock-based</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awards</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590,033</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559,439</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532,443</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452,789</w:t>
            </w:r>
          </w:p>
        </w:tc>
      </w:tr>
      <w:tr>
        <w:trPr>
          <w:trHeight w:val="21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diluted shares outstanding</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52,223,183</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51,937,924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52,111,134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51,821,615</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0.13</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Anti-dilutive securities excluded from EPS calculation</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209,570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117,807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254,511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197,761</w:t>
            </w:r>
          </w:p>
        </w:tc>
      </w:tr>
      <w:tr>
        <w:trPr>
          <w:trHeight w:val="647"/>
        </w:trPr>
        <w:tc>
          <w:tcPr>
            <w:tcW w:w="4760" w:type="dxa"/>
            <w:vAlign w:val="bottom"/>
          </w:tcPr>
          <w:p>
            <w:pPr>
              <w:spacing w:after="0"/>
              <w:rPr>
                <w:sz w:val="20"/>
                <w:szCs w:val="20"/>
                <w:color w:val="auto"/>
              </w:rPr>
            </w:pPr>
            <w:r>
              <w:rPr>
                <w:rFonts w:ascii="Arial" w:cs="Arial" w:eastAsia="Arial" w:hAnsi="Arial"/>
                <w:sz w:val="18"/>
                <w:szCs w:val="18"/>
                <w:b w:val="1"/>
                <w:bCs w:val="1"/>
                <w:color w:val="auto"/>
              </w:rPr>
              <w:t>Note 5: Other Accrued Liabilities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99"/>
        </w:trPr>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(in thousands)</w:t>
            </w:r>
          </w:p>
        </w:tc>
      </w:tr>
      <w:tr>
        <w:trPr>
          <w:trHeight w:val="230"/>
        </w:trPr>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w w:val="98"/>
              </w:rPr>
              <w:t>June 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47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Shareholder litigation accrual</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Customer deposits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7,584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7,742</w:t>
            </w: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wages and salaries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Sales return reserve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3,080</w:t>
            </w: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Payroll and sales taxes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r>
      <w:tr>
        <w:trPr>
          <w:trHeight w:val="23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w:t>
            </w:r>
          </w:p>
        </w:tc>
      </w:tr>
      <w:tr>
        <w:trPr>
          <w:trHeight w:val="217"/>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accrued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33,461</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June 2, 2015, the Company and its operating subsidiary, The Tile Shop, LLC, entered into a credit agreement with Fifth Third Bank, Bank of America, N.A., and Huntington National Bank (as amended, the “Credit Agreement”). On December 9, 2016, the Credit Agreement was amended to permit an additional New Markets Tax Credit Financing arrangement and on February 10, 2017, the Credit Agreement was amended to permit the Company to make certain dividend payments. The Credit Agreement again was amended on July 17, 2017 to amend the consolidated fixed charge coverage ratio from 2.00:1.00 to 1.50:1.00 to provide greater flexibility in declaring and making dividend payments or other distributions to stockholders. The Credit Agreement provides the Company with a $125.0 million senior secured credit facility, comprised of a five-year $50.0 million term loan and a $75.0 million revolving line of credit. The Credit Agreement is secured by virtually all of the assets of the Company, including but not limited to, inventory, receivables, equipment and real property. Borrowings pursuant to the Credit Agreement bear interest at either a base rate or a LIBOR-based rate, at the option of the Company. The LIBOR-based rate will range from LIBOR plus 1.50% to 2.00%, depending on The Tile Shop’s leverage ratio. The base rate is equal to the greatest of: (a) the Federal funds rate plus 0.50%, (b) the Fifth Third Bank “prime rate,” and (c) the Eurodollar rate plus 1.00%, in each case plus 0.50% to 1.00% depending on The Tile Shop’s leverage ratio. At June 30, 2017 the base interest rate was 4.75% and the LIBOR-based interest rate was 2.72%. Borrowings outstanding consisted of $3.0 million on the revolving line of credit and $15.2 million on the term loan as of June 30, 2017. There was $72.0 million available for borrowing on the revolving line of credit as of June 30, 2017. The Company can elect to prepay the term loan without incurring a penalty. Additional borrowings pursuant to the Credit Agreement may be used to support the Company’s growth and for working capital purposes. The Company incurred $1.0 million of debt issuance costs in connection with the Credit Agreement. These costs were capitalized as other current and other noncurrent assets, and will be amortized over the five-year life of the Credit Agreement. The term loan requires quarterly principal payments as follows (in thousands):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6980" w:type="dxa"/>
            <w:vAlign w:val="bottom"/>
          </w:tcPr>
          <w:p>
            <w:pPr>
              <w:jc w:val="center"/>
              <w:ind w:right="3070"/>
              <w:spacing w:after="0"/>
              <w:rPr>
                <w:sz w:val="20"/>
                <w:szCs w:val="20"/>
                <w:color w:val="auto"/>
              </w:rPr>
            </w:pPr>
            <w:r>
              <w:rPr>
                <w:rFonts w:ascii="Arial" w:cs="Arial" w:eastAsia="Arial" w:hAnsi="Arial"/>
                <w:sz w:val="18"/>
                <w:szCs w:val="18"/>
                <w:b w:val="1"/>
                <w:bCs w:val="1"/>
                <w:color w:val="auto"/>
                <w:w w:val="90"/>
              </w:rPr>
              <w:t>Tile Shop Holdings, Inc. and Subsidiaries</w:t>
            </w:r>
          </w:p>
        </w:tc>
      </w:tr>
      <w:tr>
        <w:trPr>
          <w:trHeight w:val="216"/>
        </w:trPr>
        <w:tc>
          <w:tcPr>
            <w:tcW w:w="3140" w:type="dxa"/>
            <w:vAlign w:val="bottom"/>
          </w:tcPr>
          <w:p>
            <w:pPr>
              <w:spacing w:after="0"/>
              <w:rPr>
                <w:sz w:val="18"/>
                <w:szCs w:val="18"/>
                <w:color w:val="auto"/>
              </w:rPr>
            </w:pPr>
          </w:p>
        </w:tc>
        <w:tc>
          <w:tcPr>
            <w:tcW w:w="6980" w:type="dxa"/>
            <w:vAlign w:val="bottom"/>
          </w:tcPr>
          <w:p>
            <w:pPr>
              <w:jc w:val="center"/>
              <w:ind w:right="3070"/>
              <w:spacing w:after="0"/>
              <w:rPr>
                <w:sz w:val="20"/>
                <w:szCs w:val="20"/>
                <w:color w:val="auto"/>
              </w:rPr>
            </w:pPr>
            <w:r>
              <w:rPr>
                <w:rFonts w:ascii="Arial" w:cs="Arial" w:eastAsia="Arial" w:hAnsi="Arial"/>
                <w:sz w:val="18"/>
                <w:szCs w:val="18"/>
                <w:color w:val="auto"/>
                <w:w w:val="89"/>
              </w:rPr>
              <w:t>Notes to Consolidated Financial Statements</w:t>
            </w:r>
          </w:p>
        </w:tc>
      </w:tr>
      <w:tr>
        <w:trPr>
          <w:trHeight w:val="230"/>
        </w:trPr>
        <w:tc>
          <w:tcPr>
            <w:tcW w:w="3140" w:type="dxa"/>
            <w:vAlign w:val="bottom"/>
          </w:tcPr>
          <w:p>
            <w:pPr>
              <w:spacing w:after="0"/>
              <w:rPr>
                <w:sz w:val="20"/>
                <w:szCs w:val="20"/>
                <w:color w:val="auto"/>
              </w:rPr>
            </w:pPr>
          </w:p>
        </w:tc>
        <w:tc>
          <w:tcPr>
            <w:tcW w:w="6980" w:type="dxa"/>
            <w:vAlign w:val="bottom"/>
          </w:tcPr>
          <w:p>
            <w:pPr>
              <w:jc w:val="center"/>
              <w:ind w:right="3070"/>
              <w:spacing w:after="0"/>
              <w:rPr>
                <w:sz w:val="20"/>
                <w:szCs w:val="20"/>
                <w:color w:val="auto"/>
              </w:rPr>
            </w:pPr>
            <w:r>
              <w:rPr>
                <w:rFonts w:ascii="Arial" w:cs="Arial" w:eastAsia="Arial" w:hAnsi="Arial"/>
                <w:sz w:val="18"/>
                <w:szCs w:val="18"/>
                <w:color w:val="auto"/>
                <w:w w:val="90"/>
              </w:rPr>
              <w:t>(unaudited)</w:t>
            </w:r>
          </w:p>
        </w:tc>
      </w:tr>
      <w:tr>
        <w:trPr>
          <w:trHeight w:val="716"/>
        </w:trPr>
        <w:tc>
          <w:tcPr>
            <w:tcW w:w="31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6980" w:type="dxa"/>
            <w:vAlign w:val="bottom"/>
          </w:tcPr>
          <w:p>
            <w:pPr>
              <w:spacing w:after="0"/>
              <w:rPr>
                <w:sz w:val="24"/>
                <w:szCs w:val="24"/>
                <w:color w:val="auto"/>
              </w:rPr>
            </w:pPr>
          </w:p>
        </w:tc>
      </w:tr>
      <w:tr>
        <w:trPr>
          <w:trHeight w:val="23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 to June 30, 2018</w:t>
            </w:r>
          </w:p>
        </w:tc>
        <w:tc>
          <w:tcPr>
            <w:tcW w:w="6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w w:val="99"/>
              </w:rPr>
              <w:t>September 30, 2018 to March 31, 2020</w:t>
            </w:r>
          </w:p>
        </w:tc>
        <w:tc>
          <w:tcPr>
            <w:tcW w:w="6980" w:type="dxa"/>
            <w:vAlign w:val="bottom"/>
          </w:tcPr>
          <w:p>
            <w:pPr>
              <w:jc w:val="right"/>
              <w:spacing w:after="0"/>
              <w:rPr>
                <w:sz w:val="20"/>
                <w:szCs w:val="20"/>
                <w:color w:val="auto"/>
              </w:rPr>
            </w:pPr>
            <w:r>
              <w:rPr>
                <w:rFonts w:ascii="Arial" w:cs="Arial" w:eastAsia="Arial" w:hAnsi="Arial"/>
                <w:sz w:val="18"/>
                <w:szCs w:val="18"/>
                <w:color w:val="auto"/>
              </w:rPr>
              <w:t>2,500</w:t>
            </w:r>
          </w:p>
        </w:tc>
      </w:tr>
    </w:tbl>
    <w:p>
      <w:pPr>
        <w:spacing w:after="0" w:line="20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Credit Agreement contains customary events of default, conditions to borrowings, and restrictive covenants, including restrictions on the Company’s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The Company was in compliance with the covenants as of June 30, 2017.</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have a standby letter of credits outstanding related to our workers compensation and medical insurance policies. As of June 30, 2017 and 2016, the standby letter of credits totaled $1.1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June 30, 2017 and December 31, 2016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jc w:val="center"/>
              <w:ind w:left="130"/>
              <w:spacing w:after="0"/>
              <w:rPr>
                <w:sz w:val="20"/>
                <w:szCs w:val="20"/>
                <w:color w:val="auto"/>
              </w:rPr>
            </w:pPr>
            <w:r>
              <w:rPr>
                <w:rFonts w:ascii="Arial" w:cs="Arial" w:eastAsia="Arial" w:hAnsi="Arial"/>
                <w:sz w:val="18"/>
                <w:szCs w:val="18"/>
                <w:color w:val="auto"/>
                <w:w w:val="87"/>
              </w:rPr>
              <w:t>June 30, 2017</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5"/>
          </w:tcPr>
          <w:p>
            <w:pPr>
              <w:ind w:left="80"/>
              <w:spacing w:after="0"/>
              <w:rPr>
                <w:sz w:val="20"/>
                <w:szCs w:val="20"/>
                <w:color w:val="auto"/>
              </w:rPr>
            </w:pPr>
            <w:r>
              <w:rPr>
                <w:rFonts w:ascii="Arial" w:cs="Arial" w:eastAsia="Arial" w:hAnsi="Arial"/>
                <w:sz w:val="18"/>
                <w:szCs w:val="18"/>
                <w:color w:val="auto"/>
              </w:rPr>
              <w:t>December 31, 2016</w:t>
            </w:r>
          </w:p>
        </w:tc>
      </w:tr>
      <w:tr>
        <w:trPr>
          <w:trHeight w:val="209"/>
        </w:trPr>
        <w:tc>
          <w:tcPr>
            <w:tcW w:w="6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Unamortized</w:t>
            </w: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Unamortized</w:t>
            </w:r>
          </w:p>
        </w:tc>
        <w:tc>
          <w:tcPr>
            <w:tcW w:w="20" w:type="dxa"/>
            <w:vAlign w:val="bottom"/>
          </w:tcPr>
          <w:p>
            <w:pPr>
              <w:spacing w:after="0"/>
              <w:rPr>
                <w:sz w:val="18"/>
                <w:szCs w:val="18"/>
                <w:color w:val="auto"/>
              </w:rPr>
            </w:pPr>
          </w:p>
        </w:tc>
      </w:tr>
      <w:tr>
        <w:trPr>
          <w:trHeight w:val="230"/>
        </w:trPr>
        <w:tc>
          <w:tcPr>
            <w:tcW w:w="6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8"/>
              </w:rPr>
              <w:t>Debt Issuance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Debt Issuance</w:t>
            </w:r>
          </w:p>
        </w:tc>
      </w:tr>
      <w:tr>
        <w:trPr>
          <w:trHeight w:val="230"/>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Principal</w:t>
            </w:r>
          </w:p>
        </w:tc>
        <w:tc>
          <w:tcPr>
            <w:tcW w:w="780" w:type="dxa"/>
            <w:vAlign w:val="bottom"/>
          </w:tcPr>
          <w:p>
            <w:pPr>
              <w:jc w:val="center"/>
              <w:ind w:left="250"/>
              <w:spacing w:after="0"/>
              <w:rPr>
                <w:sz w:val="20"/>
                <w:szCs w:val="20"/>
                <w:color w:val="auto"/>
              </w:rPr>
            </w:pPr>
            <w:r>
              <w:rPr>
                <w:rFonts w:ascii="Arial" w:cs="Arial" w:eastAsia="Arial" w:hAnsi="Arial"/>
                <w:sz w:val="18"/>
                <w:szCs w:val="18"/>
                <w:color w:val="auto"/>
                <w:w w:val="86"/>
              </w:rPr>
              <w:t>Costs</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3"/>
          </w:tcPr>
          <w:p>
            <w:pPr>
              <w:ind w:left="80"/>
              <w:spacing w:after="0"/>
              <w:rPr>
                <w:sz w:val="20"/>
                <w:szCs w:val="20"/>
                <w:color w:val="auto"/>
              </w:rPr>
            </w:pPr>
            <w:r>
              <w:rPr>
                <w:rFonts w:ascii="Arial" w:cs="Arial" w:eastAsia="Arial" w:hAnsi="Arial"/>
                <w:sz w:val="18"/>
                <w:szCs w:val="18"/>
                <w:color w:val="auto"/>
              </w:rPr>
              <w:t>Principal</w:t>
            </w:r>
          </w:p>
        </w:tc>
        <w:tc>
          <w:tcPr>
            <w:tcW w:w="2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Costs</w:t>
            </w:r>
          </w:p>
        </w:tc>
      </w:tr>
      <w:tr>
        <w:trPr>
          <w:trHeight w:val="182"/>
        </w:trPr>
        <w:tc>
          <w:tcPr>
            <w:tcW w:w="6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2"/>
              </w:rPr>
              <w:t>Term note payable - interest at 2.72% and 2.27% at June 30, 2017 and December</w:t>
            </w: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31, 2016, respectively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15,221</w:t>
            </w: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right="5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w:t>
            </w:r>
          </w:p>
        </w:tc>
        <w:tc>
          <w:tcPr>
            <w:tcW w:w="24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0"/>
                <w:szCs w:val="20"/>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Commercial bank credit facility</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Variable interest rate bonds (1.29% and 0.89% at June 30, 2017 and December 31,</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9"/>
              </w:rPr>
              <w:t>2016), which mature April 1, 2023, collateralized by buildings and equipment</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6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Total debt obligations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18,926</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(65)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(44)</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r>
      <w:tr>
        <w:trPr>
          <w:trHeight w:val="217"/>
        </w:trPr>
        <w:tc>
          <w:tcPr>
            <w:tcW w:w="6080" w:type="dxa"/>
            <w:vAlign w:val="bottom"/>
          </w:tcPr>
          <w:p>
            <w:pPr>
              <w:spacing w:after="0"/>
              <w:rPr>
                <w:sz w:val="20"/>
                <w:szCs w:val="20"/>
                <w:color w:val="auto"/>
              </w:rPr>
            </w:pPr>
            <w:r>
              <w:rPr>
                <w:rFonts w:ascii="Arial" w:cs="Arial" w:eastAsia="Arial" w:hAnsi="Arial"/>
                <w:sz w:val="18"/>
                <w:szCs w:val="18"/>
                <w:color w:val="auto"/>
              </w:rPr>
              <w:t>Debt obligations, net of current portion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11,321</w:t>
            </w:r>
          </w:p>
        </w:tc>
        <w:tc>
          <w:tcPr>
            <w:tcW w:w="60" w:type="dxa"/>
            <w:vAlign w:val="bottom"/>
          </w:tcPr>
          <w:p>
            <w:pPr>
              <w:spacing w:after="0"/>
              <w:rPr>
                <w:sz w:val="18"/>
                <w:szCs w:val="18"/>
                <w:color w:val="auto"/>
              </w:rPr>
            </w:pPr>
          </w:p>
        </w:tc>
        <w:tc>
          <w:tcPr>
            <w:tcW w:w="78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22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66"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70" w:lineRule="exact"/>
        <w:rPr>
          <w:sz w:val="20"/>
          <w:szCs w:val="20"/>
          <w:color w:val="auto"/>
        </w:rPr>
      </w:pPr>
    </w:p>
    <w:p>
      <w:pPr>
        <w:ind w:left="640" w:right="520"/>
        <w:spacing w:after="0" w:line="277"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30" w:lineRule="exact"/>
        <w:rPr>
          <w:sz w:val="20"/>
          <w:szCs w:val="20"/>
          <w:color w:val="auto"/>
        </w:rPr>
      </w:pPr>
    </w:p>
    <w:p>
      <w:pPr>
        <w:ind w:left="960" w:hanging="315"/>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identical or similar assets in non-active markets;</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 and</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other observable market data.</w:t>
      </w:r>
    </w:p>
    <w:p>
      <w:pPr>
        <w:spacing w:after="0" w:line="225"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00"/>
          </w:cols>
          <w:pgMar w:left="900" w:top="121" w:right="7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following table sets forth by Level within the fair value hierarchy the Company’s financial assets that were accounted for at fair value on a recurring basis at June 30, 2017 and December 31, 2016 according to the valuation techniques the Company uses to determine their fair values. There have been no transfers of assets among the fair value hierarchies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Pricing</w:t>
            </w:r>
          </w:p>
        </w:tc>
        <w:tc>
          <w:tcPr>
            <w:tcW w:w="320" w:type="dxa"/>
            <w:vAlign w:val="bottom"/>
          </w:tcPr>
          <w:p>
            <w:pPr>
              <w:spacing w:after="0"/>
              <w:rPr>
                <w:sz w:val="19"/>
                <w:szCs w:val="19"/>
                <w:color w:val="auto"/>
              </w:rPr>
            </w:pPr>
          </w:p>
        </w:tc>
        <w:tc>
          <w:tcPr>
            <w:tcW w:w="2160" w:type="dxa"/>
            <w:vAlign w:val="bottom"/>
            <w:gridSpan w:val="2"/>
          </w:tcPr>
          <w:p>
            <w:pPr>
              <w:jc w:val="right"/>
              <w:ind w:right="230"/>
              <w:spacing w:after="0"/>
              <w:rPr>
                <w:sz w:val="20"/>
                <w:szCs w:val="20"/>
                <w:color w:val="auto"/>
              </w:rPr>
            </w:pPr>
            <w:r>
              <w:rPr>
                <w:rFonts w:ascii="Arial" w:cs="Arial" w:eastAsia="Arial" w:hAnsi="Arial"/>
                <w:sz w:val="18"/>
                <w:szCs w:val="18"/>
                <w:color w:val="auto"/>
              </w:rPr>
              <w:t>Fair Value at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Category</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2"/>
              </w:rPr>
              <w:t>June 30, 2017</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(in thousands)</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12,006</w:t>
            </w:r>
          </w:p>
        </w:tc>
        <w:tc>
          <w:tcPr>
            <w:tcW w:w="7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Restricted cash</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3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855</w:t>
            </w: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70" w:lineRule="exact"/>
        <w:rPr>
          <w:sz w:val="20"/>
          <w:szCs w:val="20"/>
          <w:color w:val="auto"/>
        </w:rPr>
      </w:pPr>
    </w:p>
    <w:p>
      <w:pPr>
        <w:ind w:left="960" w:right="100" w:hanging="315"/>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The carrying amount approximates fair value.</w:t>
      </w:r>
    </w:p>
    <w:p>
      <w:pPr>
        <w:spacing w:after="0" w:line="170" w:lineRule="exact"/>
        <w:rPr>
          <w:rFonts w:ascii="Arial" w:cs="Arial" w:eastAsia="Arial" w:hAnsi="Arial"/>
          <w:sz w:val="18"/>
          <w:szCs w:val="18"/>
          <w:color w:val="auto"/>
        </w:rPr>
      </w:pPr>
    </w:p>
    <w:p>
      <w:pPr>
        <w:jc w:val="both"/>
        <w:ind w:left="960" w:right="180" w:hanging="315"/>
        <w:spacing w:after="0" w:line="264"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are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use for current operations. The value was measured using quoted market prices in active markets. The carrying amount approximates fair value.</w:t>
      </w:r>
    </w:p>
    <w:p>
      <w:pPr>
        <w:spacing w:after="0" w:line="181" w:lineRule="exact"/>
        <w:rPr>
          <w:rFonts w:ascii="Arial" w:cs="Arial" w:eastAsia="Arial" w:hAnsi="Arial"/>
          <w:sz w:val="18"/>
          <w:szCs w:val="18"/>
          <w:color w:val="auto"/>
        </w:rPr>
      </w:pPr>
    </w:p>
    <w:p>
      <w:pPr>
        <w:ind w:left="960" w:right="60" w:hanging="315"/>
        <w:spacing w:after="0" w:line="264"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Long-term restricted cash: </w:t>
      </w:r>
      <w:r>
        <w:rPr>
          <w:rFonts w:ascii="Arial" w:cs="Arial" w:eastAsia="Arial" w:hAnsi="Arial"/>
          <w:sz w:val="18"/>
          <w:szCs w:val="18"/>
          <w:color w:val="auto"/>
        </w:rPr>
        <w:t>Consists of cash and cash equivalents held in bank deposit accounts restricted as to withdrawal and</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for expenditure in the construction of noncurrent assets. The value was measured using quoted market prices in active markets. The carrying amount approximates fair value.</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Fair value measurements also apply to certain non-financial assets and liabilities measured at fair value on a nonrecurring basis. Property, plant and equipment is measured at fair value when an impairment is recognized and the related assets are written down to fair value. The Company did not recognize any significant impairment losses during 2017 or 2016. The carrying value of the Company’s borrowings under its credit agreement approximate fair value based upon the market interest rates available to the Company for debt obligations with similar risks and maturities.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Company measures and recognizes compensation expense for all stock-based awards at fair value. The financial statements for the three and six months ended June 30, 2017 and 2016 include compensation cost for the portion of outstanding awards that vested during those periods. The Company recognizes stock-based compensation costs on a straight-line basis over the requisite service period of the award, which is generally the option vesting term. Total stock-based compensation expense related to stock options was $0.6 million and $0.9 million for the three months ended June 30, 2017 and 2016, respectively. Total stock-based compensation expense related to stock options was $1.2 million and $1.9 million for the six months ended June 30, 2017 and 2016, respectively. Stock-based compensation expense is included in selling, general and administrative expenses in the accompanying Consolidated Statements of Operations.</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June 30, 2017, the Company had outstanding stock options to purchase 2,103,524 shares of common stock at a weighted average exercise price of $14.72.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awards restricted common shares to selected employees and to non-employee directors. Recipients are not required to provide any consideration other than continued service. Restricted share awards are subject to certain restrictions on transfer, and all or part of the shares awarded may be subject to forfeiture upon the occurrence of certain events, including employment termination. Certain awards are also subject to forfeiture if the Company fails to attain its adjusted EBITDA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stock-based compensation expense related to restricted stock was $0.3 million for the three months ended June 30, 2017 and 2016. Total stock-based compensation expense related to restricted stock was $0.6 million for the six months ended June 30,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2017 and 2016. Stock-based compensation expense is included in selling, general and administrative expenses in the accompanying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the Company had 168,361 outstanding restricted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New Market Tax Credit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 Tax Credit</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67"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In December 2016, Tile Shop Lending loaned $6.7 million to the Investment Fund at an interest rate of 1.37% per year and with a maturity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December 2016, U.S. Bank also contributed $3.1 million to the Investment Funds and, by virtue of such contribution, is entitled to substantially all of the tax benefits derived from the NMTCs,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has determined that the financing arrangement with the Investment Fund and CDEs contains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Bank’s contributions, of $3.1 million, net of syndications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$1.9 million contribution over the seven-year compliance period as it is being earned through the on-going compliance with the conditions of the NMTC program. As of June 30, 2017, the balance of the contribution liability was $3.0 million, of which $0.5 million is classified as other accrued liabilities on the Consolidated Balance Sheet and $2.5 million is classified as other long-term liabilities on the Consolidated Balance Sheet.</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After closing on this transaction, 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During the</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40"/>
          </w:cols>
          <w:pgMar w:left="900" w:top="121"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six months ended June 30, 2017, the Company received reimbursements totaling $6.0 million from the investment fund. As of June 30, 2017, the balance available in the Investment Fund available for reimbursement to the Company was $0.9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New Market Tax Credit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July 2013, the Company entered into a financing transaction with U.S. Bank and Chase Community Equity (“Chase”, and collectively with Chase, the “investors”) related to a $19.1 million acquisition, rehabilitation, and construction of the Company’s distribution center and manufacturing facilities in Durant, Oklahoma. In this transaction, Tile Shop Lending loaned $13.5 million to the Tile Shop Investment Fund LLC. The investors contributed $5.6 million to the Tile Shop Investment Fund LLC. The investors are entitled to the tax benefits derived from the NMTC by virtue of their contribution while the Company received the proceeds, net of syndication fees, to apply toward the construction project. This transaction includes a put/call provision whereby the Company may be obligated or entitled to repurchase the investors’ interest. The Company believes that the investors will exercise the put option in September 2020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determined that this financing arrangement contains a VIE. The ongoing activities of the Tile Shop Investment Fund LLC</w:t>
      </w:r>
    </w:p>
    <w:p>
      <w:pPr>
        <w:spacing w:after="0" w:line="4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 collecting and remitting interest and fees and NMTC compliance – were all considered in the initial design and are not expected to significantly affect economic performance throughout the life of the Tile Shop Investment Fund LLC. Management considered the contractual arrangements that obligate the Company to deliver tax benefits and provide various other guarantees to the structure; the investors lack of a material interest in the underling economics of the project; and the fact that the Company is obligated to absorb losses of the Investment Fund. The Company concluded that it is the primary beneficiary of the VIE and consolidated the Tile Shop Investment Fund LLC, as a VIE, in accordance with the accounting standards for consolidation. In 2013, the investors’ contributions, of $5.6 million, net of syndication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$4.4 million contribution over the seven-year compliance period as it is being earned through the on-going compliance with the conditions of the NMTC program. As of June 30, 2017, the balance of the contribution liability was $2.1 million, of which $0.7 million is classified as other accrued liabilities on the Consolidated Balance Sheet and $1.4 million is classified as other long-term liabilities on the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was a defendant in a consolidated class action arising in 2013 alleging it failed to disclose certain related party transactions in the Company’s SEC filings and press releases. In January 2017, the plaintiffs and the Company agreed to settle the lawsuit for $9.5 million. The court approved the settlement, and entered an order dismissing the action on June 14, 2017.</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also is a nominal defendant in three actions brought derivatively on behalf of the Company by three shareholders in 2015. The plaintiffs allege that the defendant-directors and/or officer breached their fiduciary duties by failing to adopt adequate internal controls for the Company, by approving false and misleading statements issued by the Company, by causing the Company to violate generally accepted accounting principles and SEC regulations, by engaging in or approving alleged insider trading, and by permitting the Company’s primary product to contain illegal amounts of lead. The complaints also allege claims for insider trading and/or unjust enrichment. The Company moved to dismiss the actions, or in the alternative, to stay the actions. Those motions have not yet been decided.</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By letter dated May 19, 2016, a shareholder of the Company demanded that the Board of Directors investigate alleged breaches of fiduciary duty related to the same matters described above, and take action against certain present and former officers and directors of the Company. The Board of Directors has appointed a committee of two independent directors to investigate and evaluate the matters raised in the demand letter, and to recommend to the Company’s Board of Directors what actions, if any should be taken by the Company with respect to the matters raised in the demand letter.</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Given the uncertainty of litigation and the current stage of the derivative actions, the Company cannot reasonably estimate the possible loss or range of loss that may result. The Company maintains directors and officers liability insurance policies that may reduce the Company’s exposure, if any. In the event the Company incurs a loss, the Company will pursue recoveries to the maximum extent available under these policies.</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80"/>
          </w:cols>
          <w:pgMar w:left="900" w:top="121" w:right="10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July 18, 2017, the Company declared a $0.05 dividend to stockholders of record as of the close of business on August 1, 2017. The dividend will be paid on August 15, 2017.</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July 17, 2017, Tile Shop Holdings, Inc. (the “Company”), its operating subsidiary, The Tile Shop, LLC, and certain other subsidiaries of the Company entered into a Third Amendment to Credit Agreement (the “Third Amendment”) with Fifth Third Bank, Bank of America, N.A., and The Huntington National Bank. The Third Amendment amends the Credit Agreement, dated June 2, 2015, among the Company, Fifth Third Bank, Bank of America, N.A., and The Huntington National Bank and certain other parties thereto (the “Credit Agreement”) to amend the consolidated fixed charge coverage ratio from 2.00:1.00 to 1.50:1.00 to provide the Company with greater flexibility in declaring and making dividend payments or other distributions to its stockholders.</w:t>
      </w: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20"/>
          </w:cols>
          <w:pgMar w:left="900" w:top="121" w:right="10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Annual Report on Form 10-K for the year ended December 31, 2016 and our consolidated financial statements and related notes appearing elsewhere in this Quarterly Report on Form 10-Q .</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or Securities Act, and Section 21E of the Securities Exchange Act of 1934, as amended, or Exchange Act. Forward-looking statements are often identified by the use of words such as, but not limited to, “anticipate,” “believe,” “can,” “continue,” “could,” “estimate,” “expect,” “intend,” “may,” “might,” “plan,” “project,” “seek,” “should,” “target,” “will,” “will likely result,”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unexpected delays or expenses related to opening new stores and maintaining or renovating existing stores, changes to economic conditions and customer preferences, disruptions in our supply chain, or inventory management, competitive factors, increases to interest rates or other impacts on our ability to obtain or maintain financing, unanticipated expenses related to operating as a public company including but not limited to litigation-related expenses, and those factors disclosed in the section captioned “Risk Factors” in our Annual Report for the fiscal year ended December 31, 2016, filed with the Securities and Exchange Commission.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specialty retailer of manufactured and natural stone tiles, setting and maintenance materials, and related accessories in the United States. We offer a wide selection of products, attractive prices, and exceptional customer service in an extensive showroom setting. As of June 30, 2017, we operated 130 stores in 31 states and the District of Columbia, with an average size of 20,800 square feet. We also sell our products on our website.</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manufactured and natural stone tiles, accessories, and related materials in the United States.</w:t>
      </w:r>
    </w:p>
    <w:p>
      <w:pPr>
        <w:spacing w:after="0" w:line="15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believe that the highly-fragmented United States retail tile market provides us with a significant opportunity to expand our store base. We opened 7 new stores in the first six months of 2017, and opened 9 new stores in the United States during 2016. We plan to open approximately 15 stores in 2017. We believe that there will continue to be additional expansion opportunities in the United States and Canada. We expect store base growth will drive productivity and operational efficiencies. Our growth plans also require us to maintain significant inventory on-hand in order to fulfill transactions at these new locations.</w:t>
      </w:r>
    </w:p>
    <w:p>
      <w:pPr>
        <w:spacing w:after="0" w:line="1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 the three and six months ended June 30, 2017, we reported net sales of $89.5 million and $181.6 million, respectively. For the three and six months ended June 30, 2016, we reported net sales of $84.3 million and $169.0 million, respectively. The increase in sales for the six months ended June 30, 2017 was primarily due to sales generated by stores opened since June 30, 2016, as well as a comparable store sales increase of 2.7%. During the six-month period ended June 30, 2017, we noted a decrease in the growth rate of comparable store sales compared to 2016. A slight decrease in conversion rate was the primary driver of slowed comparable store sales growth during the second quarter. We believe the most significant contributor to the decrease in conversion rate was inconsistent execution across certain markets. We anticipate a low to mid-single digit increase in comparable store sales for the year ending December 31, 2017. Comparable store sales increased 7.6% during the year ended December 31, 2016.</w:t>
      </w:r>
    </w:p>
    <w:p>
      <w:pPr>
        <w:spacing w:after="0" w:line="179"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For the three and six months ended June 30, 2017, we reported income from operations of $11.6 million and $25.1 million, respectively. For the three and six months ended June 30, 2016, we reported income from operations of $11.7 million and $23.5 million. The decrease in income from operations during the quarter was primarily driven by a deceleration in comparable store sales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21" w:right="9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growth and an increase in occupancy costs. During the six month period, the increase in income from operations was driven by the 2.7% increase in comparable store sales.</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Net cash provided by operating activities was $34.8 million and $40.8 million for the six months ended June 30, 2017 and 2016, respectively, which was used to fund operations, new store construction activities, and debt repayments. We expect to continue to fund our capital expenditures and daily operations from our operating cash flows. As of June 30, 2017, we had cash of $12.0 million and working capital of $38.2 million compared to cash of $13.4 million and working capital of $39.3 million at June 30,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Operations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represents total charges to customers, net of returns, and includes freight charged to customers. We recognize sales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time that the customer takes possession of the merchandise or final delivery of the product has occurred. We recognize service revenue, which consists primarily of freight charges for home delivery, when the service has been rendered. We are required to charge and collect sales and other taxes on sales to our customers and remit these taxes back to government authorities. Total revenues do not include sales tax because we are a pass-through conduit for collecting and remitting sales tax.</w:t>
      </w:r>
    </w:p>
    <w:p>
      <w:pPr>
        <w:spacing w:after="0" w:line="17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Comparable store sales for the three months ended June 30, 2017 increased $0.5 million, compared to the three months ended June 30, 2016. Comparable store sales for the six months ended June 30, 2017 increased $4.5 million, compared to the six months ended June 30,</w:t>
      </w:r>
    </w:p>
    <w:p>
      <w:pPr>
        <w:spacing w:after="0"/>
        <w:rPr>
          <w:sz w:val="20"/>
          <w:szCs w:val="20"/>
          <w:color w:val="auto"/>
        </w:rPr>
      </w:pPr>
      <w:r>
        <w:rPr>
          <w:rFonts w:ascii="Arial" w:cs="Arial" w:eastAsia="Arial" w:hAnsi="Arial"/>
          <w:sz w:val="16"/>
          <w:szCs w:val="16"/>
          <w:color w:val="auto"/>
        </w:rPr>
        <w:t>2016. The table below sets forth information about our same store sales growth for the three and six months ended June 30, 2017 and 2016.</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19"/>
                <w:szCs w:val="19"/>
                <w:color w:val="auto"/>
              </w:rPr>
            </w:pPr>
          </w:p>
        </w:tc>
        <w:tc>
          <w:tcPr>
            <w:tcW w:w="2700" w:type="dxa"/>
            <w:vAlign w:val="bottom"/>
            <w:gridSpan w:val="5"/>
          </w:tcPr>
          <w:p>
            <w:pPr>
              <w:jc w:val="center"/>
              <w:ind w:right="140"/>
              <w:spacing w:after="0"/>
              <w:rPr>
                <w:sz w:val="20"/>
                <w:szCs w:val="20"/>
                <w:color w:val="auto"/>
              </w:rPr>
            </w:pPr>
            <w:r>
              <w:rPr>
                <w:rFonts w:ascii="Arial" w:cs="Arial" w:eastAsia="Arial" w:hAnsi="Arial"/>
                <w:sz w:val="18"/>
                <w:szCs w:val="18"/>
                <w:color w:val="auto"/>
                <w:w w:val="88"/>
              </w:rPr>
              <w:t>For the three months ended</w:t>
            </w:r>
          </w:p>
        </w:tc>
        <w:tc>
          <w:tcPr>
            <w:tcW w:w="2540" w:type="dxa"/>
            <w:vAlign w:val="bottom"/>
            <w:gridSpan w:val="4"/>
          </w:tcPr>
          <w:p>
            <w:pPr>
              <w:jc w:val="center"/>
              <w:spacing w:after="0"/>
              <w:rPr>
                <w:sz w:val="20"/>
                <w:szCs w:val="20"/>
                <w:color w:val="auto"/>
              </w:rPr>
            </w:pPr>
            <w:r>
              <w:rPr>
                <w:rFonts w:ascii="Arial" w:cs="Arial" w:eastAsia="Arial" w:hAnsi="Arial"/>
                <w:sz w:val="18"/>
                <w:szCs w:val="18"/>
                <w:color w:val="auto"/>
                <w:w w:val="89"/>
              </w:rPr>
              <w:t>For the six months ended</w:t>
            </w:r>
          </w:p>
        </w:tc>
      </w:tr>
      <w:tr>
        <w:trPr>
          <w:trHeight w:val="230"/>
        </w:trPr>
        <w:tc>
          <w:tcPr>
            <w:tcW w:w="488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w w:val="86"/>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color w:val="auto"/>
                <w:w w:val="86"/>
              </w:rPr>
              <w:t>June 30,</w:t>
            </w:r>
          </w:p>
        </w:tc>
        <w:tc>
          <w:tcPr>
            <w:tcW w:w="880" w:type="dxa"/>
            <w:vAlign w:val="bottom"/>
            <w:tcBorders>
              <w:bottom w:val="single" w:sz="8" w:color="auto"/>
            </w:tcBorders>
          </w:tcPr>
          <w:p>
            <w:pPr>
              <w:spacing w:after="0"/>
              <w:rPr>
                <w:sz w:val="20"/>
                <w:szCs w:val="20"/>
                <w:color w:val="auto"/>
              </w:rPr>
            </w:pPr>
          </w:p>
        </w:tc>
      </w:tr>
      <w:tr>
        <w:trPr>
          <w:trHeight w:val="210"/>
        </w:trPr>
        <w:tc>
          <w:tcPr>
            <w:tcW w:w="48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Same store sales growth</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0.5 %</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8.2 %</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2.7 %</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10.6 %</w:t>
            </w:r>
          </w:p>
        </w:tc>
      </w:tr>
    </w:tbl>
    <w:p>
      <w:pPr>
        <w:spacing w:after="0" w:line="202"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increase in same store sales growth is primarily attributable to an increase in the volume of transactions. Same store sales amounts include total charges to customers less any actual returns, and the change in the returns provision related to comparable stores. In general, we consider a new or relocated store in the comparable store sales calculation on the first day of the 13th full month of operation.</w:t>
      </w:r>
    </w:p>
    <w:p>
      <w:pPr>
        <w:spacing w:after="0" w:line="14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Between July 1, 2016 and June 30, 2017, we opened 13 new store locations. Incremental net sales of $4.7 million and $8.1 million occurred in the three and six months ended June 30, 2017, respectively, from stores not included in the comparable store base.</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Cost of sales consists primarily of material costs, freight, duties, and storage and delivery of product to the customers,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costs associated with manufacturing of setting and maintenance materials. For the three months ended June 30, 2017 and 2016, our cost of sales as a percentage of net sales was 30.3%. For the six months ended June 30, 2017 and 2016, our cost of sales as a percentage of net sales was 30.0% and 29.9%, respectively. The increase was primarily attributable to an increased level of discounting during the six months ended June 30, 2017.</w:t>
      </w:r>
    </w:p>
    <w:p>
      <w:pPr>
        <w:spacing w:after="0" w:line="188"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For the three months ended June 30, 2017 and 2016, our selling, general,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administrative expenses as a percentage of net sales were 56.7% and 55.8%, respectively. The increase was primarily attributable to an increase in occupancy, compensation, benefit and advertising costs, which outpaced the growth of sales during the quarter. For the six months ended June 30, 2017 and 2016, our selling, general, and administrative expenses as a percentage of net sales were 56.1% and</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56.2%, respectively. The decrease was primarily attributable to an increase in sales growth, which outpaced the growth of selling, general, and administrative expenses for the six months ended June 30, 2017.</w:t>
      </w:r>
    </w:p>
    <w:p>
      <w:pPr>
        <w:spacing w:after="0" w:line="184"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We are subject to income tax in the United States as well as other tax jurisdictions in which we conduct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Our effective tax rate for the three months ended June 30, 2017 and 2016 was 31.1% and 39.4%, respectively. Our effective tax rate for the six months ended June 30, 2017 and 2016 was 35.3% and 39.6%, respectively. The decrease in the Company’s tax rate for the three and six month periods was due to increases in excess tax benefits recognized in connection with the exercise of non-qualified stock options and disqualifying dispositions of incentive stock options during the second quarter of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229"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We calculate Adjusted EBITDA by taking net income calculated in accordance with accounting principles generally accepted in the United States (“GAAP”), and adjusting for interest expense, income taxes, depreciation and amortization, stock based compensation expense, and special charges, which consist of shareholder and other litigation costs. Adjusted EBITDA margin is equal to Adjusted EBITDA divided by net sales. Free cash flows is calculated by taking net cash provided by operating activities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7" w:name="page18"/>
    <w:bookmarkEnd w:id="17"/>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and subtracting net cash used for the purchase of property, plant and equipment. Non-GAAP net income excludes the special charges, which consist of shareholder and other litigation costs, and is net of tax.</w:t>
      </w:r>
    </w:p>
    <w:p>
      <w:pPr>
        <w:spacing w:after="0" w:line="170" w:lineRule="exact"/>
        <w:rPr>
          <w:sz w:val="20"/>
          <w:szCs w:val="20"/>
          <w:color w:val="auto"/>
        </w:rPr>
      </w:pPr>
    </w:p>
    <w:p>
      <w:pPr>
        <w:ind w:left="4" w:right="120"/>
        <w:spacing w:after="0" w:line="272" w:lineRule="auto"/>
        <w:rPr>
          <w:sz w:val="20"/>
          <w:szCs w:val="20"/>
          <w:color w:val="auto"/>
        </w:rPr>
      </w:pPr>
      <w:r>
        <w:rPr>
          <w:rFonts w:ascii="Arial" w:cs="Arial" w:eastAsia="Arial" w:hAnsi="Arial"/>
          <w:sz w:val="17"/>
          <w:szCs w:val="17"/>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and for budgeting and planning purposes.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reconciliation of Adjusted EBITDA to net income for the three and six months ended June 30, 2017 and 2016 is as follows:</w:t>
      </w:r>
    </w:p>
    <w:p>
      <w:pPr>
        <w:spacing w:after="0" w:line="29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(in thousands)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5"/>
          </w:tcPr>
          <w:p>
            <w:pPr>
              <w:jc w:val="center"/>
              <w:ind w:right="40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 of sales</w:t>
            </w:r>
            <w:r>
              <w:rPr>
                <w:rFonts w:ascii="Arial" w:cs="Arial" w:eastAsia="Arial" w:hAnsi="Arial"/>
                <w:sz w:val="8"/>
                <w:szCs w:val="8"/>
                <w:color w:val="auto"/>
                <w:w w:val="99"/>
              </w:rPr>
              <w:t>(1)</w:t>
            </w: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2016</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 of sales</w:t>
            </w:r>
            <w:r>
              <w:rPr>
                <w:rFonts w:ascii="Arial" w:cs="Arial" w:eastAsia="Arial" w:hAnsi="Arial"/>
                <w:sz w:val="8"/>
                <w:szCs w:val="8"/>
                <w:color w:val="auto"/>
                <w:w w:val="99"/>
              </w:rPr>
              <w:t>(1)</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8.6 %</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8.1 %</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448</w:t>
            </w:r>
          </w:p>
        </w:tc>
        <w:tc>
          <w:tcPr>
            <w:tcW w:w="3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0.5 %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0.5 %</w:t>
            </w: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3.9 %</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5.3 %</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6,256</w:t>
            </w:r>
          </w:p>
        </w:tc>
        <w:tc>
          <w:tcPr>
            <w:tcW w:w="3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7.0 %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6.7 %</w:t>
            </w: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0.3 %</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0.5 %</w:t>
            </w:r>
          </w:p>
        </w:tc>
      </w:tr>
      <w:tr>
        <w:trPr>
          <w:trHeight w:val="230"/>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1.0 %</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1.5 %</w:t>
            </w:r>
          </w:p>
        </w:tc>
      </w:tr>
      <w:tr>
        <w:trPr>
          <w:trHeight w:val="217"/>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19,144</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21.4 %</w:t>
            </w: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22.5 %</w:t>
            </w:r>
          </w:p>
        </w:tc>
      </w:tr>
    </w:tbl>
    <w:p>
      <w:pPr>
        <w:ind w:left="164" w:hanging="141"/>
        <w:spacing w:after="0"/>
        <w:tabs>
          <w:tab w:leader="none" w:pos="164" w:val="left"/>
        </w:tabs>
        <w:numPr>
          <w:ilvl w:val="0"/>
          <w:numId w:val="6"/>
        </w:numPr>
        <w:rPr>
          <w:rFonts w:ascii="Arial" w:cs="Arial" w:eastAsia="Arial" w:hAnsi="Arial"/>
          <w:sz w:val="9"/>
          <w:szCs w:val="9"/>
          <w:color w:val="auto"/>
        </w:rPr>
      </w:pPr>
      <w:r>
        <w:rPr>
          <w:rFonts w:ascii="Arial" w:cs="Arial" w:eastAsia="Arial" w:hAnsi="Arial"/>
          <w:sz w:val="18"/>
          <w:szCs w:val="18"/>
          <w:color w:val="auto"/>
        </w:rPr>
        <w:t>Amounts may not foot due to rounding.</w:t>
      </w:r>
    </w:p>
    <w:p>
      <w:pPr>
        <w:spacing w:after="0" w:line="27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00" w:type="dxa"/>
            <w:vAlign w:val="bottom"/>
            <w:gridSpan w:val="5"/>
          </w:tcPr>
          <w:p>
            <w:pPr>
              <w:ind w:left="400"/>
              <w:spacing w:after="0"/>
              <w:rPr>
                <w:sz w:val="20"/>
                <w:szCs w:val="20"/>
                <w:color w:val="auto"/>
              </w:rPr>
            </w:pPr>
            <w:r>
              <w:rPr>
                <w:rFonts w:ascii="Arial" w:cs="Arial" w:eastAsia="Arial" w:hAnsi="Arial"/>
                <w:sz w:val="18"/>
                <w:szCs w:val="18"/>
                <w:color w:val="auto"/>
              </w:rPr>
              <w:t>Six Months Ended</w:t>
            </w:r>
          </w:p>
        </w:tc>
        <w:tc>
          <w:tcPr>
            <w:tcW w:w="1040" w:type="dxa"/>
            <w:vAlign w:val="bottom"/>
          </w:tcPr>
          <w:p>
            <w:pPr>
              <w:spacing w:after="0"/>
              <w:rPr>
                <w:sz w:val="19"/>
                <w:szCs w:val="19"/>
                <w:color w:val="auto"/>
              </w:rPr>
            </w:pPr>
          </w:p>
        </w:tc>
      </w:tr>
      <w:tr>
        <w:trPr>
          <w:trHeight w:val="230"/>
        </w:trPr>
        <w:tc>
          <w:tcPr>
            <w:tcW w:w="4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of sales</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 of sales</w:t>
            </w:r>
            <w:r>
              <w:rPr>
                <w:rFonts w:ascii="Arial" w:cs="Arial" w:eastAsia="Arial" w:hAnsi="Arial"/>
                <w:sz w:val="8"/>
                <w:szCs w:val="8"/>
                <w:color w:val="auto"/>
                <w:w w:val="99"/>
              </w:rPr>
              <w:t>(1)</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8.7 %</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8.1 %</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933</w:t>
            </w:r>
          </w:p>
        </w:tc>
        <w:tc>
          <w:tcPr>
            <w:tcW w:w="3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0.5 %</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1,019</w:t>
            </w:r>
          </w:p>
        </w:tc>
        <w:tc>
          <w:tcPr>
            <w:tcW w:w="3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0.6 %</w:t>
            </w: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4.7 %</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5.3 %</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12,592</w:t>
            </w:r>
          </w:p>
        </w:tc>
        <w:tc>
          <w:tcPr>
            <w:tcW w:w="3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6.9 %</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11,184</w:t>
            </w:r>
          </w:p>
        </w:tc>
        <w:tc>
          <w:tcPr>
            <w:tcW w:w="3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6.6 %</w:t>
            </w: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0.4 %</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0.7 %</w:t>
            </w:r>
          </w:p>
        </w:tc>
      </w:tr>
      <w:tr>
        <w:trPr>
          <w:trHeight w:val="230"/>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1.0 %</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1.5 %</w:t>
            </w:r>
          </w:p>
        </w:tc>
      </w:tr>
      <w:tr>
        <w:trPr>
          <w:trHeight w:val="217"/>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40,242</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22.2 %</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38,283</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22.7 %</w:t>
            </w:r>
          </w:p>
        </w:tc>
      </w:tr>
    </w:tbl>
    <w:p>
      <w:pPr>
        <w:spacing w:after="0" w:line="202" w:lineRule="exact"/>
        <w:rPr>
          <w:sz w:val="20"/>
          <w:szCs w:val="20"/>
          <w:color w:val="auto"/>
        </w:rPr>
      </w:pPr>
    </w:p>
    <w:p>
      <w:pPr>
        <w:ind w:left="144" w:hanging="144"/>
        <w:spacing w:after="0"/>
        <w:tabs>
          <w:tab w:leader="none" w:pos="144" w:val="left"/>
        </w:tabs>
        <w:numPr>
          <w:ilvl w:val="0"/>
          <w:numId w:val="7"/>
        </w:numPr>
        <w:rPr>
          <w:rFonts w:ascii="Arial" w:cs="Arial" w:eastAsia="Arial" w:hAnsi="Arial"/>
          <w:sz w:val="9"/>
          <w:szCs w:val="9"/>
          <w:color w:val="auto"/>
        </w:rPr>
      </w:pPr>
      <w:r>
        <w:rPr>
          <w:rFonts w:ascii="Arial" w:cs="Arial" w:eastAsia="Arial" w:hAnsi="Arial"/>
          <w:sz w:val="18"/>
          <w:szCs w:val="18"/>
          <w:color w:val="auto"/>
        </w:rPr>
        <w:t>Amounts may not foot due to rounding.</w:t>
      </w:r>
    </w:p>
    <w:p>
      <w:pPr>
        <w:spacing w:after="0" w:line="22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reconciliation of free cash flow to net cash provided by operating activities for the three and six months ended June 30, 2017 and 2016 is as follows:</w:t>
      </w:r>
    </w:p>
    <w:p>
      <w:pPr>
        <w:spacing w:after="0" w:line="23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gridSpan w:val="6"/>
          </w:tcPr>
          <w:p>
            <w:pPr>
              <w:jc w:val="center"/>
              <w:ind w:right="300"/>
              <w:spacing w:after="0"/>
              <w:rPr>
                <w:sz w:val="20"/>
                <w:szCs w:val="20"/>
                <w:color w:val="auto"/>
              </w:rPr>
            </w:pPr>
            <w:r>
              <w:rPr>
                <w:rFonts w:ascii="Arial" w:cs="Arial" w:eastAsia="Arial" w:hAnsi="Arial"/>
                <w:sz w:val="18"/>
                <w:szCs w:val="18"/>
                <w:color w:val="auto"/>
                <w:w w:val="91"/>
              </w:rPr>
              <w:t>(in thousands)</w:t>
            </w:r>
          </w:p>
        </w:tc>
      </w:tr>
      <w:tr>
        <w:trPr>
          <w:trHeight w:val="230"/>
        </w:trPr>
        <w:tc>
          <w:tcPr>
            <w:tcW w:w="40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gridSpan w:val="6"/>
          </w:tcPr>
          <w:p>
            <w:pPr>
              <w:jc w:val="center"/>
              <w:ind w:right="28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0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86"/>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00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5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34,828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7"/>
              </w:rPr>
              <w:t>40,761</w:t>
            </w:r>
          </w:p>
        </w:tc>
        <w:tc>
          <w:tcPr>
            <w:tcW w:w="2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(20,000)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92"/>
              </w:rPr>
              <w:t>(11,703)</w:t>
            </w:r>
          </w:p>
        </w:tc>
        <w:tc>
          <w:tcPr>
            <w:tcW w:w="20" w:type="dxa"/>
            <w:vAlign w:val="bottom"/>
          </w:tcPr>
          <w:p>
            <w:pPr>
              <w:spacing w:after="0"/>
              <w:rPr>
                <w:sz w:val="19"/>
                <w:szCs w:val="19"/>
                <w:color w:val="auto"/>
              </w:rPr>
            </w:pPr>
          </w:p>
        </w:tc>
      </w:tr>
      <w:tr>
        <w:trPr>
          <w:trHeight w:val="23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Free cash flows</w:t>
            </w:r>
          </w:p>
        </w:tc>
        <w:tc>
          <w:tcPr>
            <w:tcW w:w="35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90"/>
              </w:rPr>
              <w:t>14,828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87"/>
              </w:rPr>
              <w:t>29,058</w:t>
            </w:r>
          </w:p>
        </w:tc>
        <w:tc>
          <w:tcPr>
            <w:tcW w:w="20" w:type="dxa"/>
            <w:vAlign w:val="bottom"/>
          </w:tcPr>
          <w:p>
            <w:pPr>
              <w:spacing w:after="0"/>
              <w:rPr>
                <w:sz w:val="19"/>
                <w:szCs w:val="19"/>
                <w:color w:val="auto"/>
              </w:rPr>
            </w:pPr>
          </w:p>
        </w:tc>
      </w:tr>
      <w:tr>
        <w:trPr>
          <w:trHeight w:val="851"/>
        </w:trPr>
        <w:tc>
          <w:tcPr>
            <w:tcW w:w="4000" w:type="dxa"/>
            <w:vAlign w:val="bottom"/>
          </w:tcPr>
          <w:p>
            <w:pPr>
              <w:spacing w:after="0"/>
              <w:rPr>
                <w:sz w:val="24"/>
                <w:szCs w:val="24"/>
                <w:color w:val="auto"/>
              </w:rPr>
            </w:pPr>
          </w:p>
        </w:tc>
        <w:tc>
          <w:tcPr>
            <w:tcW w:w="3500" w:type="dxa"/>
            <w:vAlign w:val="bottom"/>
          </w:tcPr>
          <w:p>
            <w:pPr>
              <w:jc w:val="right"/>
              <w:ind w:right="227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00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4000" w:type="dxa"/>
            <w:vAlign w:val="bottom"/>
            <w:tcBorders>
              <w:bottom w:val="single" w:sz="8" w:color="EEEEEE"/>
            </w:tcBorders>
          </w:tcPr>
          <w:p>
            <w:pPr>
              <w:spacing w:after="0" w:line="20" w:lineRule="exact"/>
              <w:rPr>
                <w:sz w:val="1"/>
                <w:szCs w:val="1"/>
                <w:color w:val="auto"/>
              </w:rPr>
            </w:pPr>
          </w:p>
        </w:tc>
        <w:tc>
          <w:tcPr>
            <w:tcW w:w="35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6419215</wp:posOffset>
            </wp:positionH>
            <wp:positionV relativeFrom="paragraph">
              <wp:posOffset>-38100</wp:posOffset>
            </wp:positionV>
            <wp:extent cx="3429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4"/>
          </w:cols>
          <w:pgMar w:left="896" w:top="121" w:right="8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GAAP income to Non-GAAP income for the three and six months ended June 30, 2017 and 2016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8"/>
          </w:tcPr>
          <w:p>
            <w:pPr>
              <w:jc w:val="center"/>
              <w:ind w:right="9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gridSpan w:val="8"/>
          </w:tcPr>
          <w:p>
            <w:pPr>
              <w:jc w:val="center"/>
              <w:ind w:right="9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1"/>
              </w:rPr>
              <w:t>June 30, 2017</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7"/>
              </w:rPr>
              <w:t>June 30, 2016</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w w:val="98"/>
              </w:rPr>
              <w:t>Per Share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w w:val="91"/>
              </w:rPr>
              <w:t>(in thousands, except share and per share data)</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9"/>
              </w:rPr>
              <w:t>Pretax</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Net of Tax</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Amounts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9"/>
              </w:rPr>
              <w:t>Pretax</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Net of Tax</w:t>
            </w:r>
          </w:p>
        </w:tc>
        <w:tc>
          <w:tcPr>
            <w:tcW w:w="4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Amounts</w:t>
            </w:r>
            <w:r>
              <w:rPr>
                <w:rFonts w:ascii="Arial" w:cs="Arial" w:eastAsia="Arial" w:hAnsi="Arial"/>
                <w:sz w:val="8"/>
                <w:szCs w:val="8"/>
                <w:color w:val="auto"/>
                <w:w w:val="93"/>
              </w:rPr>
              <w:t>(1)</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Special charges: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Litigation costs</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20"/>
                <w:szCs w:val="20"/>
                <w:color w:val="auto"/>
              </w:rPr>
            </w:pPr>
            <w:r>
              <w:rPr>
                <w:rFonts w:ascii="Arial" w:cs="Arial" w:eastAsia="Arial" w:hAnsi="Arial"/>
                <w:sz w:val="18"/>
                <w:szCs w:val="18"/>
                <w:color w:val="auto"/>
              </w:rPr>
              <w:t>Non-GAAP income</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11,702</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Amounts may not foot due to rounding.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7"/>
            <w:vMerge w:val="restart"/>
          </w:tcPr>
          <w:p>
            <w:pPr>
              <w:jc w:val="center"/>
              <w:ind w:left="590"/>
              <w:spacing w:after="0"/>
              <w:rPr>
                <w:sz w:val="20"/>
                <w:szCs w:val="20"/>
                <w:color w:val="auto"/>
              </w:rPr>
            </w:pPr>
            <w:r>
              <w:rPr>
                <w:rFonts w:ascii="Arial" w:cs="Arial" w:eastAsia="Arial" w:hAnsi="Arial"/>
                <w:sz w:val="18"/>
                <w:szCs w:val="18"/>
                <w:color w:val="auto"/>
                <w:w w:val="91"/>
              </w:rPr>
              <w:t>Six Months Ended</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7"/>
            <w:vMerge w:val="restart"/>
          </w:tcPr>
          <w:p>
            <w:pPr>
              <w:jc w:val="center"/>
              <w:ind w:left="550"/>
              <w:spacing w:after="0"/>
              <w:rPr>
                <w:sz w:val="20"/>
                <w:szCs w:val="20"/>
                <w:color w:val="auto"/>
              </w:rPr>
            </w:pPr>
            <w:r>
              <w:rPr>
                <w:rFonts w:ascii="Arial" w:cs="Arial" w:eastAsia="Arial" w:hAnsi="Arial"/>
                <w:sz w:val="18"/>
                <w:szCs w:val="18"/>
                <w:color w:val="auto"/>
                <w:w w:val="91"/>
              </w:rPr>
              <w:t>Six Months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3"/>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7"/>
            <w:vMerge w:val="continue"/>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7"/>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1"/>
              </w:rPr>
              <w:t>June 30, 2017</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7"/>
              </w:rPr>
              <w:t>June 30, 2016</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w w:val="98"/>
              </w:rPr>
              <w:t>Per Share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w w:val="91"/>
              </w:rPr>
              <w:t>(in thousands, except share and per share data)</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9"/>
              </w:rPr>
              <w:t>Pretax</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Net of Tax</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Amounts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9"/>
              </w:rPr>
              <w:t>Pretax</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Net of Tax</w:t>
            </w:r>
          </w:p>
        </w:tc>
        <w:tc>
          <w:tcPr>
            <w:tcW w:w="4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Amounts</w:t>
            </w:r>
            <w:r>
              <w:rPr>
                <w:rFonts w:ascii="Arial" w:cs="Arial" w:eastAsia="Arial" w:hAnsi="Arial"/>
                <w:sz w:val="8"/>
                <w:szCs w:val="8"/>
                <w:color w:val="auto"/>
                <w:w w:val="93"/>
              </w:rPr>
              <w:t>(1)</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15,732</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Special charges: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Litigation costs</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20"/>
                <w:szCs w:val="20"/>
                <w:color w:val="auto"/>
              </w:rPr>
            </w:pPr>
            <w:r>
              <w:rPr>
                <w:rFonts w:ascii="Arial" w:cs="Arial" w:eastAsia="Arial" w:hAnsi="Arial"/>
                <w:sz w:val="18"/>
                <w:szCs w:val="18"/>
                <w:color w:val="auto"/>
              </w:rPr>
              <w:t>Non-GAAP income</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23,616</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Amounts may not foot due to rounding.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Comparison of the three months ended June 30, 2017 to the three months ended June 30, 2016</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4"/>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4"/>
                <w:szCs w:val="24"/>
                <w:color w:val="auto"/>
              </w:rPr>
            </w:pPr>
          </w:p>
        </w:tc>
        <w:tc>
          <w:tcPr>
            <w:tcW w:w="1760" w:type="dxa"/>
            <w:vAlign w:val="bottom"/>
            <w:gridSpan w:val="3"/>
          </w:tcPr>
          <w:p>
            <w:pPr>
              <w:jc w:val="right"/>
              <w:ind w:right="665"/>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2016</w:t>
            </w: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 of sales</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89,464</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84,270</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27,116</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25,571</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62,348</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58,699</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69.7 %</w:t>
            </w: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50,748</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56.7 %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46,990</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55.8 %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11,709</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13.9 %</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(448)</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11,214</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12.5 %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13.4 %</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(3,491)</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(4,448)</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7,723</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8.1 %</w:t>
            </w:r>
          </w:p>
        </w:tc>
      </w:tr>
      <w:tr>
        <w:trPr>
          <w:trHeight w:val="216"/>
        </w:trPr>
        <w:tc>
          <w:tcPr>
            <w:tcW w:w="4000" w:type="dxa"/>
            <w:vAlign w:val="bottom"/>
          </w:tcPr>
          <w:p>
            <w:pPr>
              <w:ind w:left="2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Amounts may not foot due to rounding.</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0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for the second quarter of 2017 increased $5.2 million, or 6.2%, over the second quarter of 2016. Comparable store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$0.5 million for the second quarter of 2017 due to an increase in the volume of transactions. Net sales for the 13 new stores open less than twelve months were $4.7 million during the second quarter of 2017.</w:t>
      </w:r>
    </w:p>
    <w:p>
      <w:pPr>
        <w:spacing w:after="0" w:line="16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second quarter of 2017 increased $3.6 million, or 6.2%, compared to the second quarter of 2016,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an increase in net sales. The gross margin rate was 69.7% for the second quarter 2016 and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for the second quarter of 2017 increased $3.8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8.0%, compared to the second quarter of 2016. The increase in selling, general, and administrative expenses was primarily due to an increase in occupancy costs of $2.4 million as a result of opening 13 new stores during the period from July 1, 2016 through June 30, 2017. The remainder of the increase was driven primarily by an increase in variable compensation associated with a 0.5% increase in comparable store sales for the three months ended June 30, 2017. Selling, general, and administrative expenses as a percentage of net sales increased to 56.7% for the second quarter of 2017 compared to 55.8% for the second quarter of 2016. The increase was primarily attributable to an increase in occupancy, compensation, benefit and advertising costs, which outpaced the growth of sales during the quarter.</w:t>
      </w:r>
    </w:p>
    <w:p>
      <w:pPr>
        <w:spacing w:after="0" w:line="16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Selling, general, and administrative expenses include costs of $0.3 million and $0.4 million for the second quarters of 2017 and 2016, respectively, which relate to special charges consisting of shareholder and other litigation expenses.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Pre-opening Costs </w:t>
      </w:r>
      <w:r>
        <w:rPr>
          <w:rFonts w:ascii="Arial" w:cs="Arial" w:eastAsia="Arial" w:hAnsi="Arial"/>
          <w:sz w:val="16"/>
          <w:szCs w:val="16"/>
          <w:color w:val="auto"/>
        </w:rPr>
        <w:t>Our pre-opening costs are those typically associated with the opening of a new store and generally include rent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payroll costs and promotional costs. We expense pre-opening costs as incurred and include these costs in selling, general and administrative expenses. During the second quarter of 2017 and 2016, we incurred pre-opening costs of $0.5 million and $0.2 million, respectively.</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$0.4 million for the three months ended June 30, 2017 and 2016. The decrease in the average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outstanding was offset by a higher interest rate during the quarter in 2017.</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Income tax provision decreased $1.0 million for the second quarter of 2017 compared to the second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due to a lower effective tax rate in the second quarter of 2017. Our effective tax rate for the three months ended June 30, 2017 and 2016 was 31.1% and 39.4%, respectively. The decrease in the Company’s tax rate for the second quarter of 2017 was due to increases in excess tax benefits recognized in connection with the exercise of non-qualified stock options and disqualifying dispositions of incentive stock options during the second quarter of 2017.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Comparison of the six months ended June 30, 2017 to the six months ended June 30, 2016</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4"/>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4"/>
                <w:szCs w:val="24"/>
                <w:color w:val="auto"/>
              </w:rPr>
            </w:pPr>
          </w:p>
        </w:tc>
        <w:tc>
          <w:tcPr>
            <w:tcW w:w="1760" w:type="dxa"/>
            <w:vAlign w:val="bottom"/>
            <w:gridSpan w:val="3"/>
          </w:tcPr>
          <w:p>
            <w:pPr>
              <w:jc w:val="right"/>
              <w:ind w:right="665"/>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2016</w:t>
            </w:r>
          </w:p>
        </w:tc>
        <w:tc>
          <w:tcPr>
            <w:tcW w:w="1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181,599</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168,984</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54,506</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50,580</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127,093</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118,404</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70.1 %</w:t>
            </w: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101,960</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56.1 %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94,939</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56.2 %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25,133</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13.9 %</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(933)</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(1,019)</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24,298</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13.4 %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22,514</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13.3 %</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(8,566)</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(8,907)</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15,732</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13,607</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8.1 %</w:t>
            </w:r>
          </w:p>
        </w:tc>
      </w:tr>
      <w:tr>
        <w:trPr>
          <w:trHeight w:val="216"/>
        </w:trPr>
        <w:tc>
          <w:tcPr>
            <w:tcW w:w="4000" w:type="dxa"/>
            <w:vAlign w:val="bottom"/>
          </w:tcPr>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Amounts may not foot due to rounding.</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0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for the six months ended June 30, 2017 increased $12.6 million, or 7.5%, over the six months ended June 30,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store sales increased $4.5 million for the six months ended June 30, 2017 due to an increase in the volume of transactions. Net sales for the 13 new stores open less than twelve months were $8.1 million during the six months ended June 30, 2017.</w:t>
      </w:r>
    </w:p>
    <w:p>
      <w:pPr>
        <w:spacing w:after="0" w:line="14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for the six months ended June 30, 2017 increased $8.7 million, or 7.3%, compared to the six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2016 due to the increase in net sales. The increases in sales was partially offset by a decrease in gross margin rate which fell from 70.1% for the six months ended June 30, 2016 to 70.0% for the six months ended June 30, 2017. The decrease was primarily attributable to an increased level of discounting during the six months ended June 30, 2017.</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for the six months ended June 30,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$7.0 million, or 7.4%, compared to six months ended June 30, 2016. The increase in selling, general, and administrative expenses was primarily due to an increase in occupancy costs of $4.5 million as a result of opening 13 new stores during the period from April 1, 2016 through June 30, 2017. Selling, general, and administrative expenses as a percentage of net sales decreased to 56.1% for the six months ended June 30, 2017 compared to 56.2% for the six months ended June 30, 2016. The decrease in selling, general, and administrative expenses as a percentage of net sales was primarily due to a maturing store base that has higher net sales levels, which outpaced the growth of selling, general, and administrative expenses.</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Selling, general, and administrative expenses include costs of $0.6 million and $1.1 million for the six months ended June 30, 2017 and 2016, respectively, which relate to special charges consisting of shareholder and other litigation expenses.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Our pre-opening costs are those typically associated with the opening of a new store and generally include rent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payroll costs and promotional costs. We expense pre-opening costs as incurred and include these costs in selling, general and administrative expenses. During the six months ended June 30, 2017 and 2016, we incurred pre-opening costs of $0.8 million and $0.4 million, respectively.</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decreased $0.1 million for the six months ended June 30, 2017 compared to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2016. The decrease is primarily due to the decrease in the debt balance in 2017.</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Our income tax provision decreased $0.3 million for the six months ended June 30, 2017 compared to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2016 due to a decrease in the Company’s tax rate for the six months ended June 30, 2017. Our effective tax rate for the three and six months ended June 30, 2017 and 2016 was 35.3% and 39.6%, respectively. The decrease in the Company’s tax rate for the six months ended June 30, 2017 was due to increases in excess tax benefits recognized in connection with the exercise of non-qualified stock options and disqualifying dispositions of incentive stock options during the second quarter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Our principal uses of liquidity have been investments in working capital and capital expenditures. Our principal sources of liquidity are $12.0 million of cash and cash equivalents at June 30, 2017, our cash flow from operations, and borrowings available under our credit facility. We expect to use this liquidity for opening new stores, purchasing additional merchandise inventory, maintaining our existing stores, reducing outstanding debt, and general corporate purposes. We also recently approved the establishment of a regular quarterly dividend that will enable us to return excess cash to stockholders. Future dividend payments are subject to the approval of the Board of Directors each quarter.</w:t>
      </w:r>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June 2, 2015, we, and our operating subsidiary, The Tile Shop, LLC, entered into a credit agreement with Fifth Third Bank, Bank of America, N.A., and Huntington National Bank (as subsequently amended, the “Credit Agreement”). On December 9, 2016, the Credit Agreement was amended to permit an additional New Markets Tax Credit Financing arrangement and on February 10, 2017, the Credit Agreement was amended to permit us to make certain dividend payments. The Credit Agreement again was amended on July 17, 2017 to amend the consolidated fixed charge coverage ratio from 2.00:1.00 to 1.50:1.00 to provide greater flexibility in declaring and making dividend payments or other distributions to stockholders. The Credit Agreement provides us with a $125.0 million senior secured credit facility, comprised of a five-year $50.0 million term loan and a $75.0 million revolving line of credit. The Credit Agreement is secured by virtually all of our assets, including but not limited to inventory, receivables, equipment and real property. Borrowings pursuant to the Credit Agreement bear interest at either a base rate or a LIBOR-based rate, at our option. The LIBOR-based rate will range from LIBOR plus 1.50% to 2.00%, depending on our leverage ratio. The base rate is equal to the greatest of: (a) the Federal funds rate plus 0.50%, (b) the Fifth Third Bank “prime rate,” and (c) the Eurodollar rate plus 1.00%, in each case plus 0.50% to 1.00% depending on our leverage ratio. At June 30, 2017 the base interest rate was 4.75% and the LIBOR-based interest rate was 2.72%. Borrowings outstanding consisted of $3.0 million on the revolving line of credit and $15.2 million on the term loan as of June 30, 2017. There was $72.0 million available for borrowing on the revolving line of credit as of June 30, 2017. We can elect to prepay the term loan without incurring a penalty. To the extent we have an outstanding balance on our term loan, the credit agreement requires quarterly principal payments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3880" w:type="dxa"/>
            <w:vAlign w:val="bottom"/>
          </w:tcPr>
          <w:p>
            <w:pPr>
              <w:spacing w:after="0"/>
              <w:rPr>
                <w:sz w:val="20"/>
                <w:szCs w:val="20"/>
                <w:color w:val="auto"/>
              </w:rPr>
            </w:pP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 to June 30, 2018</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September 30, 2018 to March 31, 2020</w:t>
            </w:r>
          </w:p>
        </w:tc>
        <w:tc>
          <w:tcPr>
            <w:tcW w:w="3880" w:type="dxa"/>
            <w:vAlign w:val="bottom"/>
          </w:tcPr>
          <w:p>
            <w:pPr>
              <w:jc w:val="right"/>
              <w:spacing w:after="0"/>
              <w:rPr>
                <w:sz w:val="20"/>
                <w:szCs w:val="20"/>
                <w:color w:val="auto"/>
              </w:rPr>
            </w:pPr>
            <w:r>
              <w:rPr>
                <w:rFonts w:ascii="Arial" w:cs="Arial" w:eastAsia="Arial" w:hAnsi="Arial"/>
                <w:sz w:val="18"/>
                <w:szCs w:val="18"/>
                <w:color w:val="auto"/>
              </w:rPr>
              <w:t>2,500</w:t>
            </w:r>
          </w:p>
        </w:tc>
      </w:tr>
    </w:tbl>
    <w:p>
      <w:pPr>
        <w:spacing w:after="0" w:line="20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Credit Agreement contains customary events of default, conditions to borrowings, and restrictive covenants, including restrictions on our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We were in compliance with the covenants as of June 30, 2017. We intend to make principal payments due in future periods using cash from operations.</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a standby letter of credit outstanding related to our workers compensation and medical insurance policies. As of June 30, 2017 and 2016, the standby letter of credits totaled $1.1 million.</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believe that our cash flow from operations, together with our existing cash and cash equivalents, and borrowings available under our credit facility will be sufficient to fund our operations and anticipated capital expenditures over at least the next 12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Capital expenditures were $20.0 million and $11.7 million for the six months ended June 30, 2017 and 2016, respectively. The increase in capital expenditures is primarily due to the accelerated pace of new store openings. We opened 7 and 4 new stores during the six months ended June 30, 2017 and 2016, respectively. Additionally, the Company made incremental investments in its distribution facilities and information technology infrastructure. During the first six months of 2017, capital expenditures included $11.6 million associated with new store build-outs, remodels of existing stores, and merchandising projects, $5.2 million for general corporate purposes, including information technology infrastructure projects, and $3.2 million for distribution facilities.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future capital requirements will vary based on the number of additional stores, distribution centers, and manufacturing facilities that we open and the number of stores that we choose to renovate. Our decisions regarding opening, relocating, or renovating stores, and whether to engage in strategic acquisitions, will be based in part on macroeconomic factors and the general state of the U.S. economy, as well as the local economies in the markets in which our stores are located. We plan to open approximately 15 stores during 2017. Total capital expenditures are expected to be approximately $35 million in 2017.</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three months ended June 30, 2017 and 2016.</w:t>
      </w:r>
    </w:p>
    <w:p>
      <w:pPr>
        <w:spacing w:after="0" w:line="293"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Six Months Ended</w:t>
      </w:r>
    </w:p>
    <w:p>
      <w:pPr>
        <w:spacing w:after="0" w:line="23"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7"/>
              </w:rPr>
              <w:t>40,761</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9"/>
                <w:szCs w:val="19"/>
                <w:color w:val="auto"/>
              </w:rPr>
            </w:pPr>
          </w:p>
        </w:tc>
        <w:tc>
          <w:tcPr>
            <w:tcW w:w="980" w:type="dxa"/>
            <w:vAlign w:val="bottom"/>
          </w:tcPr>
          <w:p>
            <w:pPr>
              <w:jc w:val="center"/>
              <w:ind w:left="270"/>
              <w:spacing w:after="0"/>
              <w:rPr>
                <w:sz w:val="20"/>
                <w:szCs w:val="20"/>
                <w:color w:val="auto"/>
              </w:rPr>
            </w:pPr>
            <w:r>
              <w:rPr>
                <w:rFonts w:ascii="Arial" w:cs="Arial" w:eastAsia="Arial" w:hAnsi="Arial"/>
                <w:sz w:val="18"/>
                <w:szCs w:val="18"/>
                <w:color w:val="auto"/>
                <w:w w:val="92"/>
              </w:rPr>
              <w:t>(11,703)</w:t>
            </w:r>
          </w:p>
        </w:tc>
      </w:tr>
      <w:tr>
        <w:trPr>
          <w:trHeight w:val="23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2"/>
              </w:rPr>
              <w:t>(25,974)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Cash provided by operating activities during the six months ended June 30, 2017 was $34.8 million, compared to $40.8 million during the six months ended June 30, 2016. The decrease is attributable to payment of the shareholder litigation settlement to an escrow account, which occurred during the six months ended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Net cash used in investing activities totaled $20.0 million for the six months ended June 30, 2017, compared to $11.7 million for the six months ended June 30, 2016. Net cash used in investing activities in each period was primarily for capital purchases of store fixtures, equipment, building improvements and leasehold improvements for stores opened or remodeled, asset additions in our distribution and manufacturing facilities, information technology infrastructure, and general corporate information technology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cash used in financing activities was $8.9 million for the six months ended June 30, 2017, compared to $26.0 million for the three months ended June 30, 2016. Cash used in financing activities during the six months ended June 30, 2017 was primarily for the payments of long-term debt and capital lease obligations of $34.6 million and an aggregate of $5.2 million in dividends paid to stockholders, offset by advances on the line of credit of $25.0 million and the release of restricted cash totaling $6.0 million.</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Cash and cash equivalents totaled $12.0 million at June 30, 2017, versus $6.1 million at December 31, 2016. Working capital was $38.2 million at June 30, 2017, compared to $36.0 million at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As of June 30, 2017 and December 31, 2016,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there were no material changes to our contractual obligations outside the ordinary course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July 2015, the Financial Accounting Standards Board (“FASB”) issued a standard which simplifies the subsequent measurement of inventory. Previously, an entity was required to measure inventory at the lower of cost or market, whereby market can be replacement cost, net realizable value, or net realizable value less an approximately normal profit margin. The changes required that inventory be measured at the lower of cost and net realizable value, thereby eliminating the use of the other two market methodologies. Net realizable value is defined as the estimated selling prices in the ordinary course of business less reasonably predictable costs of completion, disposal, and transportation. The standard was effective for the Company at the beginning of fiscal 2017. The adoption of this new standard did not have a material effect on the Company’s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 May 2014, the FASB issued a final standard on revenue from contracts with customers. This new standard introduces a comprehensive revenue recognition model that requires a company to recognize revenue to depict the transfer of goods or services to a customer at an amount that reflects the consideration it expects to receive in exchange for those goods or services. In 2016, the FASB</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3" w:name="page24"/>
    <w:bookmarkEnd w:id="23"/>
    <w:p>
      <w:pPr>
        <w:ind w:left="16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issued several amendments to the standard, including principal versus agent considerations when another party is involved in providing goods or services to a customer, the application of identifying performance obligations, and the recognition of expected breakage amounts either proportionally in earnings as redemptions occur or when redemption is remote. Upon adoption of the standard, the Company expects to present the gross sales returns reserve as a component of other accrued liabilities and establish a return asset that will be classified as a component of other current assets, net in the Consolidated Balance Sheet. Currently, the Company presents its sales returns reserve net of the value of the return assets as a component of other accrued liabilities in the Consolidate Balance Sheet. The Company continues to assess the impact of other aspects of this standard. As the Company finalizes its assessment, the Company will take steps to finalize its accounting policies, establish new processes and controls when warranted, and ensure information is captured to conform with the disclosure requirements outlined under the new standard. The standard is effective for the Company in fiscal 2018 and provides for either full retrospective adoption or modified retrospective adoption by which the cumulative effect of the change is recognized in retained earnings at the date of initial application. The Company has elected to adopt this standard using the modified retrospective approach.</w:t>
      </w:r>
    </w:p>
    <w:p>
      <w:pPr>
        <w:spacing w:after="0" w:line="173" w:lineRule="exact"/>
        <w:rPr>
          <w:sz w:val="20"/>
          <w:szCs w:val="20"/>
          <w:color w:val="auto"/>
        </w:rPr>
      </w:pPr>
    </w:p>
    <w:p>
      <w:pPr>
        <w:jc w:val="both"/>
        <w:ind w:left="160" w:right="80"/>
        <w:spacing w:after="0" w:line="286" w:lineRule="auto"/>
        <w:rPr>
          <w:sz w:val="20"/>
          <w:szCs w:val="20"/>
          <w:color w:val="auto"/>
        </w:rPr>
      </w:pPr>
      <w:r>
        <w:rPr>
          <w:rFonts w:ascii="Arial" w:cs="Arial" w:eastAsia="Arial" w:hAnsi="Arial"/>
          <w:sz w:val="17"/>
          <w:szCs w:val="17"/>
          <w:color w:val="auto"/>
        </w:rPr>
        <w:t>In February 2016, the FASB issued a standard that primarily requires organizations that lease assets to recognize the rights and obligations created by those leases on the Consolidated Balance Sheet. The standard is effective in 2019, with early adoption permitted. The Company is currently assessing the effect the new standard will have on its consolidated financial statements.</w:t>
      </w:r>
    </w:p>
    <w:p>
      <w:pPr>
        <w:spacing w:after="0" w:line="166" w:lineRule="exact"/>
        <w:rPr>
          <w:sz w:val="20"/>
          <w:szCs w:val="20"/>
          <w:color w:val="auto"/>
        </w:rPr>
      </w:pPr>
    </w:p>
    <w:p>
      <w:pPr>
        <w:ind w:left="160" w:right="40"/>
        <w:spacing w:after="0" w:line="302" w:lineRule="auto"/>
        <w:rPr>
          <w:sz w:val="20"/>
          <w:szCs w:val="20"/>
          <w:color w:val="auto"/>
        </w:rPr>
      </w:pPr>
      <w:r>
        <w:rPr>
          <w:rFonts w:ascii="Arial" w:cs="Arial" w:eastAsia="Arial" w:hAnsi="Arial"/>
          <w:sz w:val="16"/>
          <w:szCs w:val="16"/>
          <w:color w:val="auto"/>
        </w:rPr>
        <w:t>In August 2016, the FASB issued an accounting standards update with new guidance on how certain cash receipts and cash payments are presented and classified in the statement of cash flows. The amendments in the standards update provide guidance on eight specific cash flow issues. The standards update is effective retrospectively for fiscal years and interim periods beginning after December 15, 2017, with early adoption permitted. The Company is currently assessing the effect the new standard will have on its consolidated financial statements.</w:t>
      </w:r>
    </w:p>
    <w:p>
      <w:pPr>
        <w:spacing w:after="0" w:line="154"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In November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on the statement of cash flows. The new standard is effective for fiscal years, and interim periods within those fiscal years, beginning after December 15, 2017, with early adoption permitted. The guidance should be applied retrospectively after adoption. The Company’s restricted cash balance was $0.9 million as of June 30, 2017. Upon adopting the new standard, the Company anticipates that it will no longer present the release of restricted cash as a financing cash inflow. Instead, restricted cash and long-term restricted cash balances will be included in the beginning and ending cash, cash equivalents and restricted cash balances in the statement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material changes in our primary risk exposures or management of market risks from those disclosed in our Form 10-K for the fiscal year ended December 31, 2016.</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80"/>
        <w:spacing w:after="0" w:line="272" w:lineRule="auto"/>
        <w:rPr>
          <w:sz w:val="20"/>
          <w:szCs w:val="20"/>
          <w:color w:val="auto"/>
        </w:rPr>
      </w:pPr>
      <w:r>
        <w:rPr>
          <w:rFonts w:ascii="Arial" w:cs="Arial" w:eastAsia="Arial" w:hAnsi="Arial"/>
          <w:sz w:val="17"/>
          <w:szCs w:val="17"/>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Securities and Exchange Commission,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June 30, 2017 and have concluded that such disclosure controls and procedures were effective as of the end of the period covered by this Quarterly Report on Form 10-Q.</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80" w:right="80"/>
        <w:spacing w:after="0" w:line="264" w:lineRule="auto"/>
        <w:rPr>
          <w:sz w:val="20"/>
          <w:szCs w:val="20"/>
          <w:color w:val="auto"/>
        </w:rPr>
      </w:pPr>
      <w:r>
        <w:rPr>
          <w:rFonts w:ascii="Arial" w:cs="Arial" w:eastAsia="Arial" w:hAnsi="Arial"/>
          <w:sz w:val="18"/>
          <w:szCs w:val="18"/>
          <w:color w:val="auto"/>
        </w:rPr>
        <w:t>No changes to our internal control over financial reporting occurred during the quarter ended June 30, 2017 that have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70485</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60"/>
          </w:cols>
          <w:pgMar w:left="740" w:top="121" w:right="899" w:bottom="1440" w:gutter="0" w:footer="0" w:header="0"/>
        </w:sectPr>
      </w:pPr>
    </w:p>
    <w:bookmarkStart w:id="24" w:name="page25"/>
    <w:bookmarkEnd w:id="24"/>
    <w:p>
      <w:pPr>
        <w:ind w:left="16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was a defendant in a consolidated class action arising in 2013 alleging it failed to disclose certain related party transactions in the Company’s SEC filings and press releases. In January 2017, the plaintiffs and the Company agreed to settle the lawsuit for $9.5 million. The court approved the settlement, and entered an order dismissing the action on June 14, 2017.</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also is a nominal defendant in three actions brought derivatively on behalf of the Company by three shareholders in 2015. The plaintiffs allege that the defendant-directors and/or officer breached their fiduciary duties by failing to adopt adequate internal controls for the Company, by approving false and misleading statements issued by the Company, by causing the Company to violate generally accepted accounting principles and SEC regulations, by engaging in or approving alleged insider trading, and by permitting the Company’s primary product to contain illegal amounts of lead. The complaints also allege claims for insider trading and/or unjust enrichment. The Company moved to dismiss the actions, or in the alternative, to stay the actions. Those motions have not yet been decided.</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By letter dated May 19, 2016, a shareholder of the Company demanded that the Board of Directors investigate alleged breaches of fiduciary duty related to the same matters described above, and take action against certain present and former officers and directors of the Company. The Board of Directors has appointed a committee of two independent directors to investigate and evaluate the matters raised in the demand letter, and to recommend to the Company’s Board of Directors what actions, if any should be taken by the Company with respect to the matters raised in the demand letter.</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Given the uncertainty of litigation and the current stage of the derivative actions, the Company cannot reasonably estimate the possible loss or range of loss that may result. The Company maintains directors and officers liability insurance policies that may reduce the Company’s exposure, if any. In the event the Company incurs a loss, the Company will pursue recoveries to the maximum extent available under these policies.</w:t>
      </w:r>
    </w:p>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70485</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40"/>
          </w:cols>
          <w:pgMar w:left="740" w:top="121" w:right="919" w:bottom="1440" w:gutter="0" w:footer="0" w:header="0"/>
        </w:sectPr>
      </w:pPr>
    </w:p>
    <w:bookmarkStart w:id="25" w:name="page26"/>
    <w:bookmarkEnd w:id="25"/>
    <w:p>
      <w:pPr>
        <w:ind w:left="16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Exhibits</w:t>
      </w:r>
    </w:p>
    <w:p>
      <w:pPr>
        <w:spacing w:after="0" w:line="1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9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Certificate of Incorporation of Tile Shop Holdings, Inc. (incorporated by reference to Exhibit 3.1 to the Company’s Registration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Statement on Form S-4 filed with the Securities and Exchange Commission on July 2, 2012).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 w:type="dxa"/>
            <w:vAlign w:val="bottom"/>
          </w:tcPr>
          <w:p>
            <w:pPr>
              <w:spacing w:after="0" w:line="201" w:lineRule="exact"/>
              <w:rPr>
                <w:sz w:val="20"/>
                <w:szCs w:val="20"/>
                <w:color w:val="auto"/>
              </w:rPr>
            </w:pPr>
            <w:r>
              <w:rPr>
                <w:rFonts w:ascii="Arial" w:cs="Arial" w:eastAsia="Arial" w:hAnsi="Arial"/>
                <w:sz w:val="18"/>
                <w:szCs w:val="18"/>
                <w:color w:val="auto"/>
              </w:rPr>
              <w:t>3.2</w:t>
            </w:r>
          </w:p>
        </w:tc>
        <w:tc>
          <w:tcPr>
            <w:tcW w:w="9460" w:type="dxa"/>
            <w:vAlign w:val="bottom"/>
          </w:tcPr>
          <w:p>
            <w:pPr>
              <w:ind w:left="180"/>
              <w:spacing w:after="0" w:line="201" w:lineRule="exact"/>
              <w:rPr>
                <w:sz w:val="20"/>
                <w:szCs w:val="20"/>
                <w:color w:val="auto"/>
              </w:rPr>
            </w:pPr>
            <w:r>
              <w:rPr>
                <w:rFonts w:ascii="Arial" w:cs="Arial" w:eastAsia="Arial" w:hAnsi="Arial"/>
                <w:sz w:val="18"/>
                <w:szCs w:val="18"/>
                <w:color w:val="auto"/>
                <w:w w:val="95"/>
              </w:rPr>
              <w:t>By-Laws of Tile Shop Holdings, Inc. (incorporated by reference to Exhibit 3.2 to the Company’s Registration Statement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Arial" w:cs="Arial" w:eastAsia="Arial" w:hAnsi="Arial"/>
                <w:sz w:val="18"/>
                <w:szCs w:val="18"/>
                <w:color w:val="auto"/>
              </w:rPr>
              <w:t>Form S-4 filed with the Securities and Exchange Commission on July 2, 2012).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94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Third Amendment to Credit Agreement, dated July 17, 2017, among The Tile Shop, LLC, Tile Shop Holdings, Inc., Fifth Third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Bank, and the other parties named therein (incorporated by reference to Exhibit 10.1 to the Company’s Current Report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8-K filed with the Securities and Exchange Commission on July 19, 2017).</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946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Pursuant to Section 302 of the Sarbanes Oxley Act of 2002.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9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Certification of Chief Financial Officer Pursuant to Section 302 of the Sarbanes Oxley Act of 2002.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9460" w:type="dxa"/>
            <w:vAlign w:val="bottom"/>
          </w:tcPr>
          <w:p>
            <w:pPr>
              <w:ind w:left="180"/>
              <w:spacing w:after="0"/>
              <w:rPr>
                <w:sz w:val="20"/>
                <w:szCs w:val="20"/>
                <w:color w:val="auto"/>
              </w:rPr>
            </w:pPr>
            <w:r>
              <w:rPr>
                <w:rFonts w:ascii="Arial" w:cs="Arial" w:eastAsia="Arial" w:hAnsi="Arial"/>
                <w:sz w:val="18"/>
                <w:szCs w:val="18"/>
                <w:color w:val="auto"/>
              </w:rPr>
              <w:t>Certifications of Chief Executive Officer Pursuant to Section 906 of the Sarbanes Oxley Act of 2002.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32.2**</w:t>
            </w:r>
          </w:p>
        </w:tc>
        <w:tc>
          <w:tcPr>
            <w:tcW w:w="9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Certifications of Chief Financial Officer Pursuant to Section 906 of the Sarbanes Oxley Act of 2002.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ind w:left="160"/>
        <w:spacing w:after="0"/>
        <w:tabs>
          <w:tab w:leader="none" w:pos="98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XBRL Instance Document.</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101.SCH*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101.LAB* XBRL Taxonomy Extension Label Linkbase Document.</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381" w:lineRule="exact"/>
        <w:rPr>
          <w:sz w:val="20"/>
          <w:szCs w:val="20"/>
          <w:color w:val="auto"/>
        </w:rPr>
      </w:pPr>
    </w:p>
    <w:p>
      <w:pPr>
        <w:ind w:left="160"/>
        <w:spacing w:after="0"/>
        <w:tabs>
          <w:tab w:leader="none" w:pos="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Filed herewith</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70485</wp:posOffset>
            </wp:positionV>
            <wp:extent cx="646557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80"/>
          </w:cols>
          <w:pgMar w:left="740" w:top="121" w:right="8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520" w:type="dxa"/>
            <w:vAlign w:val="bottom"/>
          </w:tcPr>
          <w:p>
            <w:pPr>
              <w:ind w:left="380"/>
              <w:spacing w:after="0"/>
              <w:rPr>
                <w:sz w:val="20"/>
                <w:szCs w:val="20"/>
                <w:color w:val="auto"/>
              </w:rPr>
            </w:pPr>
            <w:r>
              <w:rPr>
                <w:rFonts w:ascii="Arial" w:cs="Arial" w:eastAsia="Arial" w:hAnsi="Arial"/>
                <w:sz w:val="18"/>
                <w:szCs w:val="18"/>
                <w:b w:val="1"/>
                <w:bCs w:val="1"/>
                <w:color w:val="auto"/>
              </w:rPr>
              <w:t>TILE SHOP HOLDINGS, INC.</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Dated: August 4, 2017</w:t>
            </w:r>
          </w:p>
        </w:tc>
        <w:tc>
          <w:tcPr>
            <w:tcW w:w="5560" w:type="dxa"/>
            <w:vAlign w:val="bottom"/>
            <w:gridSpan w:val="2"/>
          </w:tcPr>
          <w:p>
            <w:pPr>
              <w:ind w:left="1720"/>
              <w:spacing w:after="0"/>
              <w:rPr>
                <w:sz w:val="20"/>
                <w:szCs w:val="20"/>
                <w:color w:val="auto"/>
              </w:rPr>
            </w:pPr>
            <w:r>
              <w:rPr>
                <w:rFonts w:ascii="Arial" w:cs="Arial" w:eastAsia="Arial" w:hAnsi="Arial"/>
                <w:sz w:val="18"/>
                <w:szCs w:val="18"/>
                <w:color w:val="auto"/>
              </w:rPr>
              <w:t>By: /s/ CHRIS R. HOMEISTER</w:t>
            </w:r>
          </w:p>
        </w:tc>
      </w:tr>
      <w:tr>
        <w:trPr>
          <w:trHeight w:val="195"/>
        </w:trPr>
        <w:tc>
          <w:tcPr>
            <w:tcW w:w="3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5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Chris R. Homeister</w:t>
            </w:r>
          </w:p>
        </w:tc>
      </w:tr>
      <w:tr>
        <w:trPr>
          <w:trHeight w:val="230"/>
        </w:trPr>
        <w:tc>
          <w:tcPr>
            <w:tcW w:w="3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r>
        <w:trPr>
          <w:trHeight w:val="662"/>
        </w:trPr>
        <w:tc>
          <w:tcPr>
            <w:tcW w:w="3340" w:type="dxa"/>
            <w:vAlign w:val="bottom"/>
          </w:tcPr>
          <w:p>
            <w:pPr>
              <w:spacing w:after="0"/>
              <w:rPr>
                <w:sz w:val="20"/>
                <w:szCs w:val="20"/>
                <w:color w:val="auto"/>
              </w:rPr>
            </w:pPr>
            <w:r>
              <w:rPr>
                <w:rFonts w:ascii="Arial" w:cs="Arial" w:eastAsia="Arial" w:hAnsi="Arial"/>
                <w:sz w:val="18"/>
                <w:szCs w:val="18"/>
                <w:color w:val="auto"/>
              </w:rPr>
              <w:t>Dated: August 4, 2017</w:t>
            </w:r>
          </w:p>
        </w:tc>
        <w:tc>
          <w:tcPr>
            <w:tcW w:w="5560" w:type="dxa"/>
            <w:vAlign w:val="bottom"/>
            <w:gridSpan w:val="2"/>
          </w:tcPr>
          <w:p>
            <w:pPr>
              <w:ind w:left="1720"/>
              <w:spacing w:after="0"/>
              <w:rPr>
                <w:sz w:val="20"/>
                <w:szCs w:val="20"/>
                <w:color w:val="auto"/>
              </w:rPr>
            </w:pPr>
            <w:r>
              <w:rPr>
                <w:rFonts w:ascii="Arial" w:cs="Arial" w:eastAsia="Arial" w:hAnsi="Arial"/>
                <w:sz w:val="18"/>
                <w:szCs w:val="18"/>
                <w:color w:val="auto"/>
              </w:rPr>
              <w:t>By: /s/ KIRK L. GEADELMANN</w:t>
            </w:r>
          </w:p>
        </w:tc>
      </w:tr>
      <w:tr>
        <w:trPr>
          <w:trHeight w:val="195"/>
        </w:trPr>
        <w:tc>
          <w:tcPr>
            <w:tcW w:w="3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5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Kirk L. Geadelmann</w:t>
            </w:r>
          </w:p>
        </w:tc>
      </w:tr>
      <w:tr>
        <w:trPr>
          <w:trHeight w:val="230"/>
        </w:trPr>
        <w:tc>
          <w:tcPr>
            <w:tcW w:w="3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0"/>
          </w:cols>
          <w:pgMar w:left="900" w:top="121" w:right="9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93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Certificate of Incorporation of Tile Shop Holdings, Inc. (incorporated by reference to Exhibit 3.1 to the Company’s Registration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Statement on Form S-4 filed with the Securities and Exchange Commission on July 2, 2012).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0" w:type="dxa"/>
            <w:vAlign w:val="bottom"/>
          </w:tcPr>
          <w:p>
            <w:pPr>
              <w:spacing w:after="0" w:line="201" w:lineRule="exact"/>
              <w:rPr>
                <w:sz w:val="20"/>
                <w:szCs w:val="20"/>
                <w:color w:val="auto"/>
              </w:rPr>
            </w:pPr>
            <w:r>
              <w:rPr>
                <w:rFonts w:ascii="Arial" w:cs="Arial" w:eastAsia="Arial" w:hAnsi="Arial"/>
                <w:sz w:val="18"/>
                <w:szCs w:val="18"/>
                <w:color w:val="auto"/>
              </w:rPr>
              <w:t>3.2</w:t>
            </w:r>
          </w:p>
        </w:tc>
        <w:tc>
          <w:tcPr>
            <w:tcW w:w="9360" w:type="dxa"/>
            <w:vAlign w:val="bottom"/>
          </w:tcPr>
          <w:p>
            <w:pPr>
              <w:ind w:left="80"/>
              <w:spacing w:after="0" w:line="201" w:lineRule="exact"/>
              <w:rPr>
                <w:sz w:val="20"/>
                <w:szCs w:val="20"/>
                <w:color w:val="auto"/>
              </w:rPr>
            </w:pPr>
            <w:r>
              <w:rPr>
                <w:rFonts w:ascii="Arial" w:cs="Arial" w:eastAsia="Arial" w:hAnsi="Arial"/>
                <w:sz w:val="18"/>
                <w:szCs w:val="18"/>
                <w:color w:val="auto"/>
                <w:w w:val="95"/>
              </w:rPr>
              <w:t>By-Laws of Tile Shop Holdings, Inc. (incorporated by reference to Exhibit 3.2 to the Company’s Registration Statement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Form S-4 filed with the Securities and Exchange Commission on July 2, 2012).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4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93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3"/>
              </w:rPr>
              <w:t>Third Amendment to Credit Agreement, dated July 17, 2017, among The Tile Shop, LLC, Tile Shop Holdings, Inc., Fifth Third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3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Bank, and the other parties named therein (incorporated by reference to Exhibit 10.1 to the Company’s Current Report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8-K filed with the Securities and Exchange Commission on July 19, 2017).</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9360" w:type="dxa"/>
            <w:vAlign w:val="bottom"/>
          </w:tcPr>
          <w:p>
            <w:pPr>
              <w:ind w:left="80"/>
              <w:spacing w:after="0"/>
              <w:rPr>
                <w:sz w:val="20"/>
                <w:szCs w:val="20"/>
                <w:color w:val="auto"/>
              </w:rPr>
            </w:pPr>
            <w:r>
              <w:rPr>
                <w:rFonts w:ascii="Arial" w:cs="Arial" w:eastAsia="Arial" w:hAnsi="Arial"/>
                <w:sz w:val="18"/>
                <w:szCs w:val="18"/>
                <w:color w:val="auto"/>
              </w:rPr>
              <w:t>Certification of Chief Executive Officer Pursuant to Section 302 of the Sarbanes Oxley Act of 2002.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9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Certification of Chief Financial Officer Pursuant to Section 302 of the Sarbanes Oxley Act of 2002.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9360" w:type="dxa"/>
            <w:vAlign w:val="bottom"/>
          </w:tcPr>
          <w:p>
            <w:pPr>
              <w:ind w:left="80"/>
              <w:spacing w:after="0"/>
              <w:rPr>
                <w:sz w:val="20"/>
                <w:szCs w:val="20"/>
                <w:color w:val="auto"/>
              </w:rPr>
            </w:pPr>
            <w:r>
              <w:rPr>
                <w:rFonts w:ascii="Arial" w:cs="Arial" w:eastAsia="Arial" w:hAnsi="Arial"/>
                <w:sz w:val="18"/>
                <w:szCs w:val="18"/>
                <w:color w:val="auto"/>
              </w:rPr>
              <w:t>Certifications of Chief Executive Officer Pursuant to Section 906 of the Sarbanes Oxley Act of 2002.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32.2**</w:t>
            </w:r>
          </w:p>
        </w:tc>
        <w:tc>
          <w:tcPr>
            <w:tcW w:w="9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Certifications of Chief Financial Officer Pursuant to Section 906 of the Sarbanes Oxley Act of 2002.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99"/>
              </w:rPr>
              <w:t>101.INS*</w:t>
            </w:r>
          </w:p>
        </w:tc>
        <w:tc>
          <w:tcPr>
            <w:tcW w:w="9360" w:type="dxa"/>
            <w:vAlign w:val="bottom"/>
          </w:tcPr>
          <w:p>
            <w:pPr>
              <w:ind w:left="8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101.SCH*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423025" cy="248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423025" cy="248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101.LAB* XBRL Taxonomy Extension Label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423025" cy="248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381"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8" w:name="page29"/>
    <w:bookmarkEnd w:id="28"/>
    <w:p>
      <w:pPr>
        <w:jc w:val="right"/>
        <w:ind w:right="99"/>
        <w:spacing w:after="0"/>
        <w:rPr>
          <w:sz w:val="20"/>
          <w:szCs w:val="20"/>
          <w:color w:val="auto"/>
        </w:rPr>
      </w:pPr>
      <w:r>
        <w:rPr>
          <w:rFonts w:ascii="Arial" w:cs="Arial" w:eastAsia="Arial" w:hAnsi="Arial"/>
          <w:sz w:val="18"/>
          <w:szCs w:val="18"/>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Chris R. Homeister, certify that:</w:t>
      </w:r>
    </w:p>
    <w:p>
      <w:pPr>
        <w:spacing w:after="0" w:line="144" w:lineRule="exact"/>
        <w:rPr>
          <w:sz w:val="20"/>
          <w:szCs w:val="20"/>
          <w:color w:val="auto"/>
        </w:rPr>
      </w:pPr>
    </w:p>
    <w:p>
      <w:pPr>
        <w:ind w:left="420" w:hanging="315"/>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420" w:right="179" w:hanging="315"/>
        <w:spacing w:after="0" w:line="22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20" w:right="139" w:hanging="315"/>
        <w:spacing w:after="0" w:line="22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179" w:hanging="315"/>
        <w:spacing w:after="0" w:line="238"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0" w:lineRule="exact"/>
        <w:rPr>
          <w:rFonts w:ascii="Arial" w:cs="Arial" w:eastAsia="Arial" w:hAnsi="Arial"/>
          <w:sz w:val="17"/>
          <w:szCs w:val="17"/>
          <w:color w:val="auto"/>
        </w:rPr>
      </w:pPr>
    </w:p>
    <w:p>
      <w:pPr>
        <w:ind w:left="760" w:right="299" w:hanging="331"/>
        <w:spacing w:after="0" w:line="219" w:lineRule="auto"/>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60" w:right="139" w:hanging="331"/>
        <w:spacing w:after="0" w:line="219" w:lineRule="auto"/>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139" w:hanging="331"/>
        <w:spacing w:after="0" w:line="224" w:lineRule="auto"/>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60" w:right="379" w:hanging="331"/>
        <w:spacing w:after="0" w:line="219" w:lineRule="auto"/>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239" w:hanging="315"/>
        <w:spacing w:after="0" w:line="22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60" w:right="239" w:hanging="331"/>
        <w:spacing w:after="0" w:line="224" w:lineRule="auto"/>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179" w:hanging="331"/>
        <w:spacing w:after="0" w:line="235" w:lineRule="auto"/>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August 4, 2017</w:t>
      </w:r>
    </w:p>
    <w:p>
      <w:pPr>
        <w:ind w:left="4800"/>
        <w:spacing w:after="0" w:line="219" w:lineRule="auto"/>
        <w:rPr>
          <w:sz w:val="20"/>
          <w:szCs w:val="20"/>
          <w:color w:val="auto"/>
        </w:rPr>
      </w:pPr>
      <w:r>
        <w:rPr>
          <w:rFonts w:ascii="Arial" w:cs="Arial" w:eastAsia="Arial" w:hAnsi="Arial"/>
          <w:sz w:val="18"/>
          <w:szCs w:val="18"/>
          <w:color w:val="auto"/>
        </w:rPr>
        <w:t>/s/ CHRIS R. HOMEISTER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Arial" w:cs="Arial" w:eastAsia="Arial" w:hAnsi="Arial"/>
          <w:sz w:val="18"/>
          <w:szCs w:val="18"/>
          <w:color w:val="auto"/>
        </w:rPr>
        <w:t>Chris R. Homeister</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jc w:val="right"/>
        <w:ind w:right="99"/>
        <w:spacing w:after="0"/>
        <w:rPr>
          <w:sz w:val="20"/>
          <w:szCs w:val="20"/>
          <w:color w:val="auto"/>
        </w:rPr>
      </w:pPr>
      <w:r>
        <w:rPr>
          <w:rFonts w:ascii="Arial" w:cs="Arial" w:eastAsia="Arial" w:hAnsi="Arial"/>
          <w:sz w:val="18"/>
          <w:szCs w:val="18"/>
          <w:b w:val="1"/>
          <w:bCs w:val="1"/>
          <w:color w:val="auto"/>
        </w:rPr>
        <w:t>Exhibit 31.2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Kirk L. Geadelmann, certify that:</w:t>
      </w:r>
    </w:p>
    <w:p>
      <w:pPr>
        <w:spacing w:after="0" w:line="144" w:lineRule="exact"/>
        <w:rPr>
          <w:sz w:val="20"/>
          <w:szCs w:val="20"/>
          <w:color w:val="auto"/>
        </w:rPr>
      </w:pPr>
    </w:p>
    <w:p>
      <w:pPr>
        <w:ind w:left="420" w:hanging="315"/>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420" w:right="179" w:hanging="315"/>
        <w:spacing w:after="0" w:line="22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20" w:right="139" w:hanging="315"/>
        <w:spacing w:after="0" w:line="22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179" w:hanging="315"/>
        <w:spacing w:after="0" w:line="238"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0" w:lineRule="exact"/>
        <w:rPr>
          <w:rFonts w:ascii="Arial" w:cs="Arial" w:eastAsia="Arial" w:hAnsi="Arial"/>
          <w:sz w:val="17"/>
          <w:szCs w:val="17"/>
          <w:color w:val="auto"/>
        </w:rPr>
      </w:pPr>
    </w:p>
    <w:p>
      <w:pPr>
        <w:ind w:left="760" w:right="299" w:hanging="331"/>
        <w:spacing w:after="0" w:line="219" w:lineRule="auto"/>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60" w:right="139" w:hanging="331"/>
        <w:spacing w:after="0" w:line="219" w:lineRule="auto"/>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139" w:hanging="331"/>
        <w:spacing w:after="0" w:line="224" w:lineRule="auto"/>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60" w:right="379" w:hanging="331"/>
        <w:spacing w:after="0" w:line="219" w:lineRule="auto"/>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239" w:hanging="315"/>
        <w:spacing w:after="0" w:line="22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60" w:right="239" w:hanging="331"/>
        <w:spacing w:after="0" w:line="224" w:lineRule="auto"/>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179" w:hanging="331"/>
        <w:spacing w:after="0" w:line="235" w:lineRule="auto"/>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August 4, 2017</w:t>
      </w:r>
    </w:p>
    <w:p>
      <w:pPr>
        <w:ind w:left="4800"/>
        <w:spacing w:after="0" w:line="219" w:lineRule="auto"/>
        <w:rPr>
          <w:sz w:val="20"/>
          <w:szCs w:val="20"/>
          <w:color w:val="auto"/>
        </w:rPr>
      </w:pP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Arial" w:cs="Arial" w:eastAsia="Arial" w:hAnsi="Arial"/>
          <w:sz w:val="18"/>
          <w:szCs w:val="18"/>
          <w:color w:val="auto"/>
        </w:rPr>
        <w:t>Kirk L. Geadelmann</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 w:name="page31"/>
    <w:bookmarkEnd w:id="30"/>
    <w:p>
      <w:pPr>
        <w:jc w:val="right"/>
        <w:ind w:right="99"/>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jc w:val="center"/>
        <w:ind w:left="100" w:right="99"/>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3" w:lineRule="exact"/>
        <w:rPr>
          <w:sz w:val="20"/>
          <w:szCs w:val="20"/>
          <w:color w:val="auto"/>
        </w:rPr>
      </w:pPr>
    </w:p>
    <w:p>
      <w:pPr>
        <w:ind w:left="100" w:right="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June 30, 2017 as filed with the Securities and Exchange Commission on the date hereof (the “Report”), I, Chris R. Homeister, Chief Executive Officer of the Company, certify, pursuant to 18 U.S.C. Section 1350, as adopted pursuant to Section 906 of the Sarbanes-Oxley Act of 2002, that:</w:t>
      </w:r>
    </w:p>
    <w:p>
      <w:pPr>
        <w:spacing w:after="0" w:line="298" w:lineRule="exact"/>
        <w:rPr>
          <w:sz w:val="20"/>
          <w:szCs w:val="20"/>
          <w:color w:val="auto"/>
        </w:rPr>
      </w:pPr>
    </w:p>
    <w:p>
      <w:pPr>
        <w:ind w:left="760" w:right="459" w:hanging="331"/>
        <w:spacing w:after="0" w:line="235"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760" w:right="559" w:hanging="331"/>
        <w:spacing w:after="0" w:line="235"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CHRIS R. HOMEISTER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wp:posOffset>
            </wp:positionV>
            <wp:extent cx="19640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3" w:lineRule="auto"/>
        <w:rPr>
          <w:sz w:val="20"/>
          <w:szCs w:val="20"/>
          <w:color w:val="auto"/>
        </w:rPr>
      </w:pPr>
      <w:r>
        <w:rPr>
          <w:rFonts w:ascii="Arial" w:cs="Arial" w:eastAsia="Arial" w:hAnsi="Arial"/>
          <w:sz w:val="18"/>
          <w:szCs w:val="18"/>
          <w:color w:val="auto"/>
        </w:rPr>
        <w:t>Chris R. Homeister</w:t>
      </w:r>
    </w:p>
    <w:p>
      <w:pPr>
        <w:ind w:left="300"/>
        <w:spacing w:after="0"/>
        <w:rPr>
          <w:sz w:val="20"/>
          <w:szCs w:val="20"/>
          <w:color w:val="auto"/>
        </w:rPr>
      </w:pPr>
      <w:r>
        <w:rPr>
          <w:rFonts w:ascii="Arial" w:cs="Arial" w:eastAsia="Arial" w:hAnsi="Arial"/>
          <w:sz w:val="18"/>
          <w:szCs w:val="18"/>
          <w:color w:val="auto"/>
        </w:rPr>
        <w:t>Chief Executive Officer</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August 4, 2017</w:t>
      </w:r>
    </w:p>
    <w:p>
      <w:pPr>
        <w:spacing w:after="0" w:line="320" w:lineRule="exact"/>
        <w:rPr>
          <w:sz w:val="20"/>
          <w:szCs w:val="20"/>
          <w:color w:val="auto"/>
        </w:rPr>
      </w:pPr>
    </w:p>
    <w:p>
      <w:pPr>
        <w:ind w:left="100" w:right="71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195580</wp:posOffset>
            </wp:positionV>
            <wp:extent cx="564261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1" w:name="page32"/>
    <w:bookmarkEnd w:id="31"/>
    <w:p>
      <w:pPr>
        <w:jc w:val="right"/>
        <w:ind w:right="99"/>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jc w:val="center"/>
        <w:ind w:left="100" w:right="99"/>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3" w:lineRule="exact"/>
        <w:rPr>
          <w:sz w:val="20"/>
          <w:szCs w:val="20"/>
          <w:color w:val="auto"/>
        </w:rPr>
      </w:pPr>
    </w:p>
    <w:p>
      <w:pPr>
        <w:ind w:left="100" w:right="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June 30, 2017 as filed with the Securities and Exchange Commission on the date hereof (the “Report”), I, Kirk L. Geadelmann,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760" w:right="459" w:hanging="331"/>
        <w:spacing w:after="0" w:line="235"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760" w:right="559" w:hanging="331"/>
        <w:spacing w:after="0" w:line="235"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wp:posOffset>
            </wp:positionV>
            <wp:extent cx="19640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3" w:lineRule="auto"/>
        <w:rPr>
          <w:sz w:val="20"/>
          <w:szCs w:val="20"/>
          <w:color w:val="auto"/>
        </w:rPr>
      </w:pPr>
      <w:r>
        <w:rPr>
          <w:rFonts w:ascii="Arial" w:cs="Arial" w:eastAsia="Arial" w:hAnsi="Arial"/>
          <w:sz w:val="18"/>
          <w:szCs w:val="18"/>
          <w:color w:val="auto"/>
        </w:rPr>
        <w:t>Kirk L. Geadelmann</w:t>
      </w:r>
    </w:p>
    <w:p>
      <w:pPr>
        <w:ind w:left="300"/>
        <w:spacing w:after="0"/>
        <w:rPr>
          <w:sz w:val="20"/>
          <w:szCs w:val="20"/>
          <w:color w:val="auto"/>
        </w:rPr>
      </w:pPr>
      <w:r>
        <w:rPr>
          <w:rFonts w:ascii="Arial" w:cs="Arial" w:eastAsia="Arial" w:hAnsi="Arial"/>
          <w:sz w:val="18"/>
          <w:szCs w:val="18"/>
          <w:color w:val="auto"/>
        </w:rPr>
        <w:t>Chief Financial Officer</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August 4, 2017</w:t>
      </w:r>
    </w:p>
    <w:p>
      <w:pPr>
        <w:spacing w:after="0" w:line="320" w:lineRule="exact"/>
        <w:rPr>
          <w:sz w:val="20"/>
          <w:szCs w:val="20"/>
          <w:color w:val="auto"/>
        </w:rPr>
      </w:pPr>
    </w:p>
    <w:p>
      <w:pPr>
        <w:ind w:left="100" w:right="71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306705</wp:posOffset>
            </wp:positionV>
            <wp:extent cx="564261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endash "/>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2019-12-29T04:53:59Z</dcterms:created>
  <dcterms:modified xsi:type="dcterms:W3CDTF">2019-12-29T04:53:59Z</dcterms:modified>
</cp:coreProperties>
</file>