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ind w:left="4580"/>
        <w:spacing w:after="0" w:line="224" w:lineRule="auto"/>
        <w:rPr>
          <w:sz w:val="20"/>
          <w:szCs w:val="20"/>
          <w:color w:val="auto"/>
        </w:rPr>
      </w:pPr>
      <w:r>
        <w:rPr>
          <w:rFonts w:ascii="Arial" w:cs="Arial" w:eastAsia="Arial" w:hAnsi="Arial"/>
          <w:sz w:val="14"/>
          <w:szCs w:val="14"/>
          <w:color w:val="auto"/>
        </w:rPr>
        <w:t>_____________________________</w:t>
      </w:r>
    </w:p>
    <w:p>
      <w:pPr>
        <w:ind w:left="60"/>
        <w:spacing w:after="0"/>
        <w:rPr>
          <w:sz w:val="20"/>
          <w:szCs w:val="20"/>
          <w:color w:val="auto"/>
        </w:rPr>
      </w:pPr>
      <w:r>
        <w:rPr>
          <w:rFonts w:ascii="Arial" w:cs="Arial" w:eastAsia="Arial" w:hAnsi="Arial"/>
          <w:sz w:val="18"/>
          <w:szCs w:val="18"/>
          <w:color w:val="auto"/>
        </w:rPr>
        <w:t>(Mark One)</w:t>
      </w:r>
    </w:p>
    <w:p>
      <w:pPr>
        <w:spacing w:after="0" w:line="165" w:lineRule="exact"/>
        <w:rPr>
          <w:sz w:val="24"/>
          <w:szCs w:val="24"/>
          <w:color w:val="auto"/>
        </w:rPr>
      </w:pPr>
    </w:p>
    <w:p>
      <w:pPr>
        <w:ind w:left="340" w:hanging="319"/>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4220" w:right="1620" w:hanging="4199"/>
        <w:spacing w:after="0" w:line="391" w:lineRule="auto"/>
        <w:tabs>
          <w:tab w:leader="none" w:pos="33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jc w:val="center"/>
        <w:ind w:right="-119"/>
        <w:spacing w:after="0" w:line="227" w:lineRule="auto"/>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48" w:right="459" w:bottom="1440" w:gutter="0" w:footer="0" w:header="0"/>
        </w:sectPr>
      </w:pPr>
    </w:p>
    <w:p>
      <w:pPr>
        <w:spacing w:after="0" w:line="155"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48" w:right="459" w:bottom="1440" w:gutter="0" w:footer="0" w:header="0"/>
          <w:type w:val="continuous"/>
        </w:sectPr>
      </w:pPr>
    </w:p>
    <w:p>
      <w:pPr>
        <w:spacing w:after="0" w:line="11" w:lineRule="exact"/>
        <w:rPr>
          <w:sz w:val="24"/>
          <w:szCs w:val="24"/>
          <w:color w:val="auto"/>
        </w:rPr>
      </w:pPr>
    </w:p>
    <w:p>
      <w:pPr>
        <w:ind w:left="1720"/>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br w:type="column"/>
      </w:r>
    </w:p>
    <w:p>
      <w:pPr>
        <w:jc w:val="center"/>
        <w:ind w:right="2760"/>
        <w:spacing w:after="0"/>
        <w:rPr>
          <w:sz w:val="20"/>
          <w:szCs w:val="20"/>
          <w:color w:val="auto"/>
        </w:rPr>
      </w:pPr>
      <w:r>
        <w:rPr>
          <w:rFonts w:ascii="Arial" w:cs="Arial" w:eastAsia="Arial" w:hAnsi="Arial"/>
          <w:sz w:val="14"/>
          <w:szCs w:val="14"/>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146" w:lineRule="exact"/>
        <w:rPr>
          <w:sz w:val="24"/>
          <w:szCs w:val="24"/>
          <w:color w:val="auto"/>
        </w:rPr>
      </w:pPr>
    </w:p>
    <w:p>
      <w:pPr>
        <w:sectPr>
          <w:pgSz w:w="11900" w:h="16838" w:orient="portrait"/>
          <w:cols w:equalWidth="0" w:num="3">
            <w:col w:w="4520" w:space="720"/>
            <w:col w:w="3000" w:space="720"/>
            <w:col w:w="2160"/>
          </w:cols>
          <w:pgMar w:left="320" w:top="648" w:right="459" w:bottom="1440" w:gutter="0" w:footer="0" w:header="0"/>
          <w:type w:val="continuous"/>
        </w:sectPr>
      </w:pPr>
    </w:p>
    <w:p>
      <w:pPr>
        <w:ind w:right="18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rPr>
                <w:sz w:val="20"/>
                <w:szCs w:val="20"/>
                <w:color w:val="auto"/>
              </w:rPr>
            </w:pPr>
            <w:r>
              <w:rPr>
                <w:rFonts w:ascii="Arial" w:cs="Arial" w:eastAsia="Arial" w:hAnsi="Arial"/>
                <w:sz w:val="18"/>
                <w:szCs w:val="18"/>
                <w:color w:val="auto"/>
              </w:rPr>
              <w:t>x</w:t>
            </w:r>
          </w:p>
        </w:tc>
      </w:tr>
      <w:tr>
        <w:trPr>
          <w:trHeight w:val="189"/>
        </w:trPr>
        <w:tc>
          <w:tcPr>
            <w:tcW w:w="188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800"/>
              <w:spacing w:after="0" w:line="189" w:lineRule="exact"/>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9" w:lineRule="exact"/>
              <w:rPr>
                <w:sz w:val="20"/>
                <w:szCs w:val="20"/>
                <w:color w:val="auto"/>
              </w:rPr>
            </w:pPr>
            <w:r>
              <w:rPr>
                <w:rFonts w:ascii="Arial" w:cs="Arial" w:eastAsia="Arial" w:hAnsi="Arial"/>
                <w:sz w:val="18"/>
                <w:szCs w:val="18"/>
                <w:color w:val="auto"/>
              </w:rPr>
              <w:t>x</w:t>
            </w:r>
          </w:p>
        </w:tc>
      </w:tr>
      <w:tr>
        <w:trPr>
          <w:trHeight w:val="283"/>
        </w:trPr>
        <w:tc>
          <w:tcPr>
            <w:tcW w:w="1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12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68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November 4, 2020, there were 51,714,484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5"/>
        </w:trPr>
        <w:tc>
          <w:tcPr>
            <w:tcW w:w="10600" w:type="dxa"/>
            <w:vAlign w:val="bottom"/>
            <w:gridSpan w:val="2"/>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640" w:type="dxa"/>
            <w:vAlign w:val="bottom"/>
          </w:tcPr>
          <w:p>
            <w:pPr>
              <w:spacing w:after="0"/>
              <w:rPr>
                <w:sz w:val="20"/>
                <w:szCs w:val="20"/>
                <w:color w:val="auto"/>
              </w:rPr>
            </w:pPr>
          </w:p>
        </w:tc>
      </w:tr>
      <w:tr>
        <w:trPr>
          <w:trHeight w:val="481"/>
        </w:trPr>
        <w:tc>
          <w:tcPr>
            <w:tcW w:w="880" w:type="dxa"/>
            <w:vAlign w:val="bottom"/>
          </w:tcPr>
          <w:p>
            <w:pPr>
              <w:spacing w:after="0"/>
              <w:rPr>
                <w:sz w:val="24"/>
                <w:szCs w:val="24"/>
                <w:color w:val="auto"/>
              </w:rPr>
            </w:pPr>
          </w:p>
        </w:tc>
        <w:tc>
          <w:tcPr>
            <w:tcW w:w="9720" w:type="dxa"/>
            <w:vAlign w:val="bottom"/>
          </w:tcPr>
          <w:p>
            <w:pPr>
              <w:jc w:val="center"/>
              <w:ind w:right="15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97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r>
      <w:tr>
        <w:trPr>
          <w:trHeight w:val="418"/>
        </w:trPr>
        <w:tc>
          <w:tcPr>
            <w:tcW w:w="880" w:type="dxa"/>
            <w:vAlign w:val="bottom"/>
            <w:tcBorders>
              <w:bottom w:val="single" w:sz="8" w:color="CCEEFF"/>
            </w:tcBorders>
          </w:tcPr>
          <w:p>
            <w:pPr>
              <w:spacing w:after="0"/>
              <w:rPr>
                <w:sz w:val="24"/>
                <w:szCs w:val="24"/>
                <w:color w:val="auto"/>
              </w:rPr>
            </w:pPr>
          </w:p>
        </w:tc>
        <w:tc>
          <w:tcPr>
            <w:tcW w:w="97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183"/>
        </w:trPr>
        <w:tc>
          <w:tcPr>
            <w:tcW w:w="10600" w:type="dxa"/>
            <w:vAlign w:val="bottom"/>
            <w:gridSpan w:val="2"/>
            <w:shd w:val="clear" w:color="auto" w:fill="CCEEFF"/>
          </w:tcPr>
          <w:p>
            <w:pPr>
              <w:spacing w:after="0" w:line="182" w:lineRule="exact"/>
              <w:rPr>
                <w:rFonts w:ascii="Arial" w:cs="Arial" w:eastAsia="Arial" w:hAnsi="Arial"/>
                <w:sz w:val="18"/>
                <w:szCs w:val="18"/>
                <w:b w:val="1"/>
                <w:bCs w:val="1"/>
                <w:u w:val="single" w:color="auto"/>
                <w:color w:val="0563C1"/>
              </w:rPr>
            </w:pPr>
            <w:hyperlink w:anchor="page3">
              <w:r>
                <w:rPr>
                  <w:rFonts w:ascii="Arial" w:cs="Arial" w:eastAsia="Arial" w:hAnsi="Arial"/>
                  <w:sz w:val="18"/>
                  <w:szCs w:val="18"/>
                  <w:b w:val="1"/>
                  <w:bCs w:val="1"/>
                  <w:u w:val="single" w:color="auto"/>
                  <w:color w:val="0563C1"/>
                </w:rPr>
                <w:t>PART I. FINANCIAL INFORMATION</w:t>
              </w:r>
            </w:hyperlink>
          </w:p>
        </w:tc>
        <w:tc>
          <w:tcPr>
            <w:tcW w:w="640" w:type="dxa"/>
            <w:vAlign w:val="bottom"/>
            <w:shd w:val="clear" w:color="auto" w:fill="CCEEFF"/>
          </w:tcPr>
          <w:p>
            <w:pPr>
              <w:spacing w:after="0"/>
              <w:rPr>
                <w:sz w:val="15"/>
                <w:szCs w:val="15"/>
                <w:color w:val="auto"/>
              </w:rPr>
            </w:pP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Item 1.</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Financial Statements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9"/>
        </w:trPr>
        <w:tc>
          <w:tcPr>
            <w:tcW w:w="880" w:type="dxa"/>
            <w:vAlign w:val="bottom"/>
            <w:shd w:val="clear" w:color="auto" w:fill="CCEEFF"/>
          </w:tcPr>
          <w:p>
            <w:pPr>
              <w:spacing w:after="0"/>
              <w:rPr>
                <w:sz w:val="16"/>
                <w:szCs w:val="16"/>
                <w:color w:val="auto"/>
              </w:rPr>
            </w:pPr>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Consolidated Balance Sheets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9"/>
        </w:trPr>
        <w:tc>
          <w:tcPr>
            <w:tcW w:w="880" w:type="dxa"/>
            <w:vAlign w:val="bottom"/>
          </w:tcPr>
          <w:p>
            <w:pPr>
              <w:spacing w:after="0"/>
              <w:rPr>
                <w:sz w:val="16"/>
                <w:szCs w:val="16"/>
                <w:color w:val="auto"/>
              </w:rPr>
            </w:pPr>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Consolidated Statements of Operations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r>
      <w:tr>
        <w:trPr>
          <w:trHeight w:val="189"/>
        </w:trPr>
        <w:tc>
          <w:tcPr>
            <w:tcW w:w="880" w:type="dxa"/>
            <w:vAlign w:val="bottom"/>
            <w:shd w:val="clear" w:color="auto" w:fill="CCEEFF"/>
          </w:tcPr>
          <w:p>
            <w:pPr>
              <w:spacing w:after="0"/>
              <w:rPr>
                <w:sz w:val="16"/>
                <w:szCs w:val="16"/>
                <w:color w:val="auto"/>
              </w:rPr>
            </w:pPr>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5">
              <w:r>
                <w:rPr>
                  <w:rFonts w:ascii="Arial" w:cs="Arial" w:eastAsia="Arial" w:hAnsi="Arial"/>
                  <w:sz w:val="18"/>
                  <w:szCs w:val="18"/>
                  <w:u w:val="single" w:color="auto"/>
                  <w:color w:val="0563C1"/>
                </w:rPr>
                <w:t>Consolidated Statements of Comprehensive Income (Loss)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r>
      <w:tr>
        <w:trPr>
          <w:trHeight w:val="189"/>
        </w:trPr>
        <w:tc>
          <w:tcPr>
            <w:tcW w:w="880" w:type="dxa"/>
            <w:vAlign w:val="bottom"/>
          </w:tcPr>
          <w:p>
            <w:pPr>
              <w:spacing w:after="0"/>
              <w:rPr>
                <w:sz w:val="16"/>
                <w:szCs w:val="16"/>
                <w:color w:val="auto"/>
              </w:rPr>
            </w:pPr>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6">
              <w:r>
                <w:rPr>
                  <w:rFonts w:ascii="Arial" w:cs="Arial" w:eastAsia="Arial" w:hAnsi="Arial"/>
                  <w:sz w:val="18"/>
                  <w:szCs w:val="18"/>
                  <w:u w:val="single" w:color="auto"/>
                  <w:color w:val="0563C1"/>
                </w:rPr>
                <w:t>Consolidated Statements of Stockholders’ Equity</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r>
      <w:tr>
        <w:trPr>
          <w:trHeight w:val="189"/>
        </w:trPr>
        <w:tc>
          <w:tcPr>
            <w:tcW w:w="880" w:type="dxa"/>
            <w:vAlign w:val="bottom"/>
            <w:shd w:val="clear" w:color="auto" w:fill="CCEEFF"/>
          </w:tcPr>
          <w:p>
            <w:pPr>
              <w:spacing w:after="0"/>
              <w:rPr>
                <w:sz w:val="16"/>
                <w:szCs w:val="16"/>
                <w:color w:val="auto"/>
              </w:rPr>
            </w:pPr>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8">
              <w:r>
                <w:rPr>
                  <w:rFonts w:ascii="Arial" w:cs="Arial" w:eastAsia="Arial" w:hAnsi="Arial"/>
                  <w:sz w:val="18"/>
                  <w:szCs w:val="18"/>
                  <w:u w:val="single" w:color="auto"/>
                  <w:color w:val="0563C1"/>
                </w:rPr>
                <w:t>Consolidated Statements of Cash Flows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r>
      <w:tr>
        <w:trPr>
          <w:trHeight w:val="189"/>
        </w:trPr>
        <w:tc>
          <w:tcPr>
            <w:tcW w:w="880" w:type="dxa"/>
            <w:vAlign w:val="bottom"/>
          </w:tcPr>
          <w:p>
            <w:pPr>
              <w:spacing w:after="0"/>
              <w:rPr>
                <w:sz w:val="16"/>
                <w:szCs w:val="16"/>
                <w:color w:val="auto"/>
              </w:rPr>
            </w:pPr>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9">
              <w:r>
                <w:rPr>
                  <w:rFonts w:ascii="Arial" w:cs="Arial" w:eastAsia="Arial" w:hAnsi="Arial"/>
                  <w:sz w:val="18"/>
                  <w:szCs w:val="18"/>
                  <w:u w:val="single" w:color="auto"/>
                  <w:color w:val="0563C1"/>
                </w:rPr>
                <w:t>Notes to Consolidated Financial Statements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20">
              <w:r>
                <w:rPr>
                  <w:rFonts w:ascii="Arial" w:cs="Arial" w:eastAsia="Arial" w:hAnsi="Arial"/>
                  <w:sz w:val="18"/>
                  <w:szCs w:val="18"/>
                  <w:u w:val="single" w:color="auto"/>
                  <w:color w:val="0563C1"/>
                </w:rPr>
                <w:t>Item 2.</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20">
              <w:r>
                <w:rPr>
                  <w:rFonts w:ascii="Arial" w:cs="Arial" w:eastAsia="Arial" w:hAnsi="Arial"/>
                  <w:sz w:val="18"/>
                  <w:szCs w:val="18"/>
                  <w:u w:val="single" w:color="auto"/>
                  <w:color w:val="0563C1"/>
                </w:rPr>
                <w:t>Management’s Discussion and Analysis of Financial Condition and Results of Operations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28">
              <w:r>
                <w:rPr>
                  <w:rFonts w:ascii="Arial" w:cs="Arial" w:eastAsia="Arial" w:hAnsi="Arial"/>
                  <w:sz w:val="18"/>
                  <w:szCs w:val="18"/>
                  <w:u w:val="single" w:color="auto"/>
                  <w:color w:val="0563C1"/>
                </w:rPr>
                <w:t>Item 3.</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28">
              <w:r>
                <w:rPr>
                  <w:rFonts w:ascii="Arial" w:cs="Arial" w:eastAsia="Arial" w:hAnsi="Arial"/>
                  <w:sz w:val="18"/>
                  <w:szCs w:val="18"/>
                  <w:u w:val="single" w:color="auto"/>
                  <w:color w:val="0563C1"/>
                </w:rPr>
                <w:t>Quantitative and Qualitative Disclosures About Market Risk</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28</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28">
              <w:r>
                <w:rPr>
                  <w:rFonts w:ascii="Arial" w:cs="Arial" w:eastAsia="Arial" w:hAnsi="Arial"/>
                  <w:sz w:val="18"/>
                  <w:szCs w:val="18"/>
                  <w:u w:val="single" w:color="auto"/>
                  <w:color w:val="0563C1"/>
                </w:rPr>
                <w:t>Item 4.</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28">
              <w:r>
                <w:rPr>
                  <w:rFonts w:ascii="Arial" w:cs="Arial" w:eastAsia="Arial" w:hAnsi="Arial"/>
                  <w:sz w:val="18"/>
                  <w:szCs w:val="18"/>
                  <w:u w:val="single" w:color="auto"/>
                  <w:color w:val="0563C1"/>
                </w:rPr>
                <w:t>Controls and Procedures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w:t>
            </w:r>
          </w:p>
        </w:tc>
      </w:tr>
      <w:tr>
        <w:trPr>
          <w:trHeight w:val="189"/>
        </w:trPr>
        <w:tc>
          <w:tcPr>
            <w:tcW w:w="10600" w:type="dxa"/>
            <w:vAlign w:val="bottom"/>
            <w:gridSpan w:val="2"/>
          </w:tcPr>
          <w:p>
            <w:pPr>
              <w:spacing w:after="0" w:line="189" w:lineRule="exact"/>
              <w:rPr>
                <w:rFonts w:ascii="Arial" w:cs="Arial" w:eastAsia="Arial" w:hAnsi="Arial"/>
                <w:sz w:val="18"/>
                <w:szCs w:val="18"/>
                <w:b w:val="1"/>
                <w:bCs w:val="1"/>
                <w:u w:val="single" w:color="auto"/>
                <w:color w:val="0563C1"/>
              </w:rPr>
            </w:pPr>
            <w:hyperlink w:anchor="page29">
              <w:r>
                <w:rPr>
                  <w:rFonts w:ascii="Arial" w:cs="Arial" w:eastAsia="Arial" w:hAnsi="Arial"/>
                  <w:sz w:val="18"/>
                  <w:szCs w:val="18"/>
                  <w:b w:val="1"/>
                  <w:bCs w:val="1"/>
                  <w:u w:val="single" w:color="auto"/>
                  <w:color w:val="0563C1"/>
                </w:rPr>
                <w:t>PART II. OTHER INFORMATION</w:t>
              </w:r>
            </w:hyperlink>
          </w:p>
        </w:tc>
        <w:tc>
          <w:tcPr>
            <w:tcW w:w="64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29">
              <w:r>
                <w:rPr>
                  <w:rFonts w:ascii="Arial" w:cs="Arial" w:eastAsia="Arial" w:hAnsi="Arial"/>
                  <w:sz w:val="18"/>
                  <w:szCs w:val="18"/>
                  <w:u w:val="single" w:color="auto"/>
                  <w:color w:val="0563C1"/>
                </w:rPr>
                <w:t>Item 1.</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29">
              <w:r>
                <w:rPr>
                  <w:rFonts w:ascii="Arial" w:cs="Arial" w:eastAsia="Arial" w:hAnsi="Arial"/>
                  <w:sz w:val="18"/>
                  <w:szCs w:val="18"/>
                  <w:u w:val="single" w:color="auto"/>
                  <w:color w:val="0563C1"/>
                </w:rPr>
                <w:t>Legal Proceedings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r>
      <w:tr>
        <w:trPr>
          <w:trHeight w:val="189"/>
        </w:trPr>
        <w:tc>
          <w:tcPr>
            <w:tcW w:w="880" w:type="dxa"/>
            <w:vAlign w:val="bottom"/>
          </w:tcPr>
          <w:p>
            <w:pPr>
              <w:spacing w:after="0" w:line="189" w:lineRule="exact"/>
              <w:rPr>
                <w:rFonts w:ascii="Arial" w:cs="Arial" w:eastAsia="Arial" w:hAnsi="Arial"/>
                <w:sz w:val="18"/>
                <w:szCs w:val="18"/>
                <w:color w:val="0563C1"/>
              </w:rPr>
            </w:pPr>
            <w:hyperlink w:anchor="page29">
              <w:r>
                <w:rPr>
                  <w:rFonts w:ascii="Arial" w:cs="Arial" w:eastAsia="Arial" w:hAnsi="Arial"/>
                  <w:sz w:val="18"/>
                  <w:szCs w:val="18"/>
                  <w:u w:val="single" w:color="auto"/>
                  <w:color w:val="0563C1"/>
                </w:rPr>
                <w:t>Item 1A</w:t>
              </w:r>
              <w:r>
                <w:rPr>
                  <w:rFonts w:ascii="Arial" w:cs="Arial" w:eastAsia="Arial" w:hAnsi="Arial"/>
                  <w:sz w:val="18"/>
                  <w:szCs w:val="18"/>
                  <w:color w:val="0563C1"/>
                </w:rPr>
                <w:t>.</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29">
              <w:r>
                <w:rPr>
                  <w:rFonts w:ascii="Arial" w:cs="Arial" w:eastAsia="Arial" w:hAnsi="Arial"/>
                  <w:sz w:val="18"/>
                  <w:szCs w:val="18"/>
                  <w:u w:val="single" w:color="auto"/>
                  <w:color w:val="0563C1"/>
                </w:rPr>
                <w:t>Risk Factors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Item 2.</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Unregistered Sales of Equity Securities and Use of Proceeds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Item 3.</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Defaults Upon Senior Securities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31</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Item 4.</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Mine Safety Disclosures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Item 5.</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Other Information</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31</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33">
              <w:r>
                <w:rPr>
                  <w:rFonts w:ascii="Arial" w:cs="Arial" w:eastAsia="Arial" w:hAnsi="Arial"/>
                  <w:sz w:val="18"/>
                  <w:szCs w:val="18"/>
                  <w:u w:val="single" w:color="auto"/>
                  <w:color w:val="0563C1"/>
                </w:rPr>
                <w:t>Item 6.</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33">
              <w:r>
                <w:rPr>
                  <w:rFonts w:ascii="Arial" w:cs="Arial" w:eastAsia="Arial" w:hAnsi="Arial"/>
                  <w:sz w:val="18"/>
                  <w:szCs w:val="18"/>
                  <w:u w:val="single" w:color="auto"/>
                  <w:color w:val="0563C1"/>
                </w:rPr>
                <w:t>Exhibits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r>
      <w:tr>
        <w:trPr>
          <w:trHeight w:val="230"/>
        </w:trPr>
        <w:tc>
          <w:tcPr>
            <w:tcW w:w="880" w:type="dxa"/>
            <w:vAlign w:val="bottom"/>
          </w:tcPr>
          <w:p>
            <w:pPr>
              <w:spacing w:after="0"/>
              <w:rPr>
                <w:rFonts w:ascii="Arial" w:cs="Arial" w:eastAsia="Arial" w:hAnsi="Arial"/>
                <w:sz w:val="18"/>
                <w:szCs w:val="18"/>
                <w:u w:val="single" w:color="auto"/>
                <w:color w:val="0563C1"/>
                <w:w w:val="99"/>
              </w:rPr>
            </w:pPr>
            <w:hyperlink w:anchor="page34">
              <w:r>
                <w:rPr>
                  <w:rFonts w:ascii="Arial" w:cs="Arial" w:eastAsia="Arial" w:hAnsi="Arial"/>
                  <w:sz w:val="18"/>
                  <w:szCs w:val="18"/>
                  <w:u w:val="single" w:color="auto"/>
                  <w:color w:val="0563C1"/>
                  <w:w w:val="99"/>
                </w:rPr>
                <w:t>Signatures</w:t>
              </w:r>
            </w:hyperlink>
          </w:p>
        </w:tc>
        <w:tc>
          <w:tcPr>
            <w:tcW w:w="9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809"/>
        </w:trPr>
        <w:tc>
          <w:tcPr>
            <w:tcW w:w="880" w:type="dxa"/>
            <w:vAlign w:val="bottom"/>
          </w:tcPr>
          <w:p>
            <w:pPr>
              <w:spacing w:after="0"/>
              <w:rPr>
                <w:sz w:val="24"/>
                <w:szCs w:val="24"/>
                <w:color w:val="auto"/>
              </w:rPr>
            </w:pPr>
          </w:p>
        </w:tc>
        <w:tc>
          <w:tcPr>
            <w:tcW w:w="9720" w:type="dxa"/>
            <w:vAlign w:val="bottom"/>
          </w:tcPr>
          <w:p>
            <w:pPr>
              <w:jc w:val="center"/>
              <w:ind w:right="150"/>
              <w:spacing w:after="0"/>
              <w:rPr>
                <w:sz w:val="20"/>
                <w:szCs w:val="20"/>
                <w:color w:val="auto"/>
              </w:rPr>
            </w:pPr>
            <w:r>
              <w:rPr>
                <w:rFonts w:ascii="Arial" w:cs="Arial" w:eastAsia="Arial" w:hAnsi="Arial"/>
                <w:sz w:val="18"/>
                <w:szCs w:val="18"/>
                <w:color w:val="auto"/>
                <w:w w:val="79"/>
              </w:rPr>
              <w:t>2</w:t>
            </w:r>
          </w:p>
        </w:tc>
        <w:tc>
          <w:tcPr>
            <w:tcW w:w="640" w:type="dxa"/>
            <w:vAlign w:val="bottom"/>
          </w:tcPr>
          <w:p>
            <w:pPr>
              <w:spacing w:after="0"/>
              <w:rPr>
                <w:sz w:val="24"/>
                <w:szCs w:val="24"/>
                <w:color w:val="auto"/>
              </w:rPr>
            </w:pPr>
          </w:p>
        </w:tc>
      </w:tr>
      <w:tr>
        <w:trPr>
          <w:trHeight w:val="506"/>
        </w:trPr>
        <w:tc>
          <w:tcPr>
            <w:tcW w:w="88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2"/>
        </w:trPr>
        <w:tc>
          <w:tcPr>
            <w:tcW w:w="80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7"/>
        </w:trPr>
        <w:tc>
          <w:tcPr>
            <w:tcW w:w="8060" w:type="dxa"/>
            <w:vAlign w:val="bottom"/>
          </w:tcPr>
          <w:p>
            <w:pPr>
              <w:ind w:left="4040"/>
              <w:spacing w:after="0"/>
              <w:rPr>
                <w:sz w:val="20"/>
                <w:szCs w:val="20"/>
                <w:color w:val="auto"/>
              </w:rPr>
            </w:pPr>
            <w:r>
              <w:rPr>
                <w:rFonts w:ascii="Arial" w:cs="Arial" w:eastAsia="Arial" w:hAnsi="Arial"/>
                <w:sz w:val="18"/>
                <w:szCs w:val="18"/>
                <w:b w:val="1"/>
                <w:bCs w:val="1"/>
                <w:color w:val="auto"/>
              </w:rPr>
              <w:t>Tile Shop Holdings, Inc. and Subsidiaries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9"/>
        </w:trPr>
        <w:tc>
          <w:tcPr>
            <w:tcW w:w="8060" w:type="dxa"/>
            <w:vAlign w:val="bottom"/>
          </w:tcPr>
          <w:p>
            <w:pPr>
              <w:ind w:left="4580"/>
              <w:spacing w:after="0" w:line="189" w:lineRule="exact"/>
              <w:rPr>
                <w:sz w:val="20"/>
                <w:szCs w:val="20"/>
                <w:color w:val="auto"/>
              </w:rPr>
            </w:pPr>
            <w:r>
              <w:rPr>
                <w:rFonts w:ascii="Arial" w:cs="Arial" w:eastAsia="Arial" w:hAnsi="Arial"/>
                <w:sz w:val="18"/>
                <w:szCs w:val="18"/>
                <w:color w:val="auto"/>
              </w:rPr>
              <w:t>Consolidated Balance Sheets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8060" w:type="dxa"/>
            <w:vAlign w:val="bottom"/>
          </w:tcPr>
          <w:p>
            <w:pPr>
              <w:ind w:left="3660"/>
              <w:spacing w:after="0"/>
              <w:rPr>
                <w:sz w:val="20"/>
                <w:szCs w:val="20"/>
                <w:color w:val="auto"/>
              </w:rPr>
            </w:pPr>
            <w:r>
              <w:rPr>
                <w:rFonts w:ascii="Arial" w:cs="Arial" w:eastAsia="Arial" w:hAnsi="Arial"/>
                <w:sz w:val="18"/>
                <w:szCs w:val="18"/>
                <w:color w:val="auto"/>
                <w:w w:val="99"/>
              </w:rPr>
              <w:t>(dollars in thousands, except share and per share data)</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4"/>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2019</w:t>
            </w:r>
          </w:p>
        </w:tc>
      </w:tr>
      <w:tr>
        <w:trPr>
          <w:trHeight w:val="217"/>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8,961</w:t>
            </w: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9,104</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815</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3,370</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72,954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97,620</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7,691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3,090</w:t>
            </w:r>
          </w:p>
        </w:tc>
      </w:tr>
      <w:tr>
        <w:trPr>
          <w:trHeight w:val="189"/>
        </w:trPr>
        <w:tc>
          <w:tcPr>
            <w:tcW w:w="80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 net</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25,396</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8,180</w:t>
            </w:r>
          </w:p>
        </w:tc>
      </w:tr>
      <w:tr>
        <w:trPr>
          <w:trHeight w:val="183"/>
        </w:trPr>
        <w:tc>
          <w:tcPr>
            <w:tcW w:w="8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119,037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122,179</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105,778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130,461</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133,256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137,737</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6,455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7,196</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1,480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r>
      <w:tr>
        <w:trPr>
          <w:trHeight w:val="223"/>
        </w:trPr>
        <w:tc>
          <w:tcPr>
            <w:tcW w:w="80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366,006</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399,814</w:t>
            </w:r>
          </w:p>
        </w:tc>
      </w:tr>
      <w:tr>
        <w:trPr>
          <w:trHeight w:val="170"/>
        </w:trPr>
        <w:tc>
          <w:tcPr>
            <w:tcW w:w="8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15,596</w:t>
            </w:r>
          </w:p>
        </w:tc>
        <w:tc>
          <w:tcPr>
            <w:tcW w:w="160" w:type="dxa"/>
            <w:vAlign w:val="bottom"/>
          </w:tcPr>
          <w:p>
            <w:pPr>
              <w:spacing w:after="0"/>
              <w:rPr>
                <w:sz w:val="16"/>
                <w:szCs w:val="16"/>
                <w:color w:val="auto"/>
              </w:rPr>
            </w:pPr>
          </w:p>
        </w:tc>
        <w:tc>
          <w:tcPr>
            <w:tcW w:w="14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18,181</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 payable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Current portion of lease liability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28,239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26,993</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49,269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24,589</w:t>
            </w:r>
          </w:p>
        </w:tc>
      </w:tr>
      <w:tr>
        <w:trPr>
          <w:trHeight w:val="183"/>
        </w:trPr>
        <w:tc>
          <w:tcPr>
            <w:tcW w:w="8060" w:type="dxa"/>
            <w:vAlign w:val="bottom"/>
          </w:tcPr>
          <w:p>
            <w:pPr>
              <w:spacing w:after="0" w:line="182"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93,216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69,850</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63,000</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124,678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131,451</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Financing lease obligation,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r>
      <w:tr>
        <w:trPr>
          <w:trHeight w:val="189"/>
        </w:trPr>
        <w:tc>
          <w:tcPr>
            <w:tcW w:w="80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3,981</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4,340</w:t>
            </w:r>
          </w:p>
        </w:tc>
      </w:tr>
      <w:tr>
        <w:trPr>
          <w:trHeight w:val="183"/>
        </w:trPr>
        <w:tc>
          <w:tcPr>
            <w:tcW w:w="80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228,875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268,915</w:t>
            </w:r>
          </w:p>
        </w:tc>
      </w:tr>
      <w:tr>
        <w:trPr>
          <w:trHeight w:val="183"/>
        </w:trPr>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61"/>
        </w:trPr>
        <w:tc>
          <w:tcPr>
            <w:tcW w:w="8060" w:type="dxa"/>
            <w:vAlign w:val="bottom"/>
          </w:tcPr>
          <w:p>
            <w:pPr>
              <w:spacing w:after="0" w:line="161" w:lineRule="exact"/>
              <w:rPr>
                <w:sz w:val="20"/>
                <w:szCs w:val="20"/>
                <w:color w:val="auto"/>
              </w:rPr>
            </w:pPr>
            <w:r>
              <w:rPr>
                <w:rFonts w:ascii="Arial" w:cs="Arial" w:eastAsia="Arial" w:hAnsi="Arial"/>
                <w:sz w:val="18"/>
                <w:szCs w:val="18"/>
                <w:color w:val="auto"/>
                <w:w w:val="92"/>
              </w:rPr>
              <w:t>Common stock, par value $0.0001; authorized: 100,000,000 shares; issued and outstanding: 51,693,455 and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7"/>
        </w:trPr>
        <w:tc>
          <w:tcPr>
            <w:tcW w:w="8060" w:type="dxa"/>
            <w:vAlign w:val="bottom"/>
          </w:tcPr>
          <w:p>
            <w:pPr>
              <w:spacing w:after="0"/>
              <w:rPr>
                <w:sz w:val="20"/>
                <w:szCs w:val="20"/>
                <w:color w:val="auto"/>
              </w:rPr>
            </w:pPr>
            <w:r>
              <w:rPr>
                <w:rFonts w:ascii="Arial" w:cs="Arial" w:eastAsia="Arial" w:hAnsi="Arial"/>
                <w:sz w:val="18"/>
                <w:szCs w:val="18"/>
                <w:color w:val="auto"/>
              </w:rPr>
              <w:t>50,806,674 shares, respectively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158,037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156,482</w:t>
            </w: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(20,862)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(25,518)</w:t>
            </w:r>
          </w:p>
        </w:tc>
      </w:tr>
      <w:tr>
        <w:trPr>
          <w:trHeight w:val="189"/>
        </w:trPr>
        <w:tc>
          <w:tcPr>
            <w:tcW w:w="8060" w:type="dxa"/>
            <w:vAlign w:val="bottom"/>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r>
      <w:tr>
        <w:trPr>
          <w:trHeight w:val="183"/>
        </w:trPr>
        <w:tc>
          <w:tcPr>
            <w:tcW w:w="8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137,131</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r>
      <w:tr>
        <w:trPr>
          <w:trHeight w:val="183"/>
        </w:trPr>
        <w:tc>
          <w:tcPr>
            <w:tcW w:w="8060" w:type="dxa"/>
            <w:vAlign w:val="bottom"/>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366,006</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399,814</w:t>
            </w:r>
          </w:p>
        </w:tc>
      </w:tr>
      <w:tr>
        <w:trPr>
          <w:trHeight w:val="20"/>
        </w:trPr>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5"/>
        </w:trPr>
        <w:tc>
          <w:tcPr>
            <w:tcW w:w="344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85"/>
        </w:trPr>
        <w:tc>
          <w:tcPr>
            <w:tcW w:w="3440" w:type="dxa"/>
            <w:vAlign w:val="bottom"/>
          </w:tcPr>
          <w:p>
            <w:pPr>
              <w:spacing w:after="0"/>
              <w:rPr>
                <w:sz w:val="24"/>
                <w:szCs w:val="24"/>
                <w:color w:val="auto"/>
              </w:rPr>
            </w:pPr>
          </w:p>
        </w:tc>
        <w:tc>
          <w:tcPr>
            <w:tcW w:w="42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4280" w:type="dxa"/>
            <w:vAlign w:val="bottom"/>
            <w:gridSpan w:val="4"/>
          </w:tcPr>
          <w:p>
            <w:pPr>
              <w:jc w:val="center"/>
              <w:ind w:left="1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3440" w:type="dxa"/>
            <w:vAlign w:val="bottom"/>
          </w:tcPr>
          <w:p>
            <w:pPr>
              <w:spacing w:after="0"/>
              <w:rPr>
                <w:sz w:val="16"/>
                <w:szCs w:val="16"/>
                <w:color w:val="auto"/>
              </w:rPr>
            </w:pPr>
          </w:p>
        </w:tc>
        <w:tc>
          <w:tcPr>
            <w:tcW w:w="428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87"/>
              </w:rPr>
              <w:t>(dollars in thousands, except share and per share data)</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3440" w:type="dxa"/>
            <w:vAlign w:val="bottom"/>
          </w:tcPr>
          <w:p>
            <w:pPr>
              <w:spacing w:after="0"/>
              <w:rPr>
                <w:sz w:val="20"/>
                <w:szCs w:val="20"/>
                <w:color w:val="auto"/>
              </w:rPr>
            </w:pPr>
          </w:p>
        </w:tc>
        <w:tc>
          <w:tcPr>
            <w:tcW w:w="326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(unaudited)</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34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Three Months Ended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color w:val="auto"/>
              </w:rPr>
              <w:t>Nine Months Ended</w:t>
            </w:r>
          </w:p>
        </w:tc>
      </w:tr>
      <w:tr>
        <w:trPr>
          <w:trHeight w:val="217"/>
        </w:trPr>
        <w:tc>
          <w:tcPr>
            <w:tcW w:w="3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183"/>
        </w:trPr>
        <w:tc>
          <w:tcPr>
            <w:tcW w:w="344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2019</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81,492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85,944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243,501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261,755</w:t>
            </w:r>
          </w:p>
        </w:tc>
      </w:tr>
      <w:tr>
        <w:trPr>
          <w:trHeight w:val="189"/>
        </w:trPr>
        <w:tc>
          <w:tcPr>
            <w:tcW w:w="34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26,188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26,775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77,828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79,384</w:t>
            </w:r>
          </w:p>
        </w:tc>
      </w:tr>
      <w:tr>
        <w:trPr>
          <w:trHeight w:val="183"/>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55,304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59,169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165,673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182,371</w:t>
            </w:r>
          </w:p>
        </w:tc>
      </w:tr>
      <w:tr>
        <w:trPr>
          <w:trHeight w:val="189"/>
        </w:trPr>
        <w:tc>
          <w:tcPr>
            <w:tcW w:w="34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w w:val="95"/>
              </w:rPr>
              <w:t>Selling, general and administrative expenses</w:t>
            </w:r>
          </w:p>
        </w:tc>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52,403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59,804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161,972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179,314</w:t>
            </w:r>
          </w:p>
        </w:tc>
      </w:tr>
      <w:tr>
        <w:trPr>
          <w:trHeight w:val="183"/>
        </w:trPr>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3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3,057</w:t>
            </w: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(239)</w:t>
            </w:r>
          </w:p>
        </w:tc>
        <w:tc>
          <w:tcPr>
            <w:tcW w:w="18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(1,027)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(1,646)</w:t>
            </w:r>
          </w:p>
        </w:tc>
        <w:tc>
          <w:tcPr>
            <w:tcW w:w="1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(2,948)</w:t>
            </w: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w:t>
            </w:r>
          </w:p>
        </w:tc>
      </w:tr>
      <w:tr>
        <w:trPr>
          <w:trHeight w:val="183"/>
        </w:trPr>
        <w:tc>
          <w:tcPr>
            <w:tcW w:w="344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2,662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(1,657)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2,055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131</w:t>
            </w: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(748)</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(348)</w:t>
            </w:r>
          </w:p>
        </w:tc>
      </w:tr>
      <w:tr>
        <w:trPr>
          <w:trHeight w:val="223"/>
        </w:trPr>
        <w:tc>
          <w:tcPr>
            <w:tcW w:w="34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3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(217)</w:t>
            </w:r>
          </w:p>
        </w:tc>
      </w:tr>
      <w:tr>
        <w:trPr>
          <w:trHeight w:val="169"/>
        </w:trPr>
        <w:tc>
          <w:tcPr>
            <w:tcW w:w="344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8"/>
                <w:szCs w:val="18"/>
                <w:color w:val="auto"/>
              </w:rPr>
              <w:t>Income (loss) per common share:</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34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Basic</w:t>
            </w:r>
          </w:p>
        </w:tc>
        <w:tc>
          <w:tcPr>
            <w:tcW w:w="3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(0.00)</w:t>
            </w:r>
          </w:p>
        </w:tc>
      </w:tr>
      <w:tr>
        <w:trPr>
          <w:trHeight w:val="189"/>
        </w:trPr>
        <w:tc>
          <w:tcPr>
            <w:tcW w:w="3440" w:type="dxa"/>
            <w:vAlign w:val="bottom"/>
          </w:tcPr>
          <w:p>
            <w:pPr>
              <w:ind w:left="220"/>
              <w:spacing w:after="0" w:line="189" w:lineRule="exact"/>
              <w:rPr>
                <w:sz w:val="20"/>
                <w:szCs w:val="20"/>
                <w:color w:val="auto"/>
              </w:rPr>
            </w:pPr>
            <w:r>
              <w:rPr>
                <w:rFonts w:ascii="Arial" w:cs="Arial" w:eastAsia="Arial" w:hAnsi="Arial"/>
                <w:sz w:val="18"/>
                <w:szCs w:val="18"/>
                <w:color w:val="auto"/>
              </w:rPr>
              <w:t>Diluted</w:t>
            </w:r>
          </w:p>
        </w:tc>
        <w:tc>
          <w:tcPr>
            <w:tcW w:w="3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8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(0.03)</w:t>
            </w:r>
          </w:p>
        </w:tc>
        <w:tc>
          <w:tcPr>
            <w:tcW w:w="220" w:type="dxa"/>
            <w:vAlign w:val="bottom"/>
            <w:gridSpan w:val="2"/>
          </w:tcPr>
          <w:p>
            <w:pPr>
              <w:jc w:val="right"/>
              <w:ind w:right="7"/>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(0.00)</w:t>
            </w:r>
          </w:p>
        </w:tc>
      </w:tr>
      <w:tr>
        <w:trPr>
          <w:trHeight w:val="189"/>
        </w:trPr>
        <w:tc>
          <w:tcPr>
            <w:tcW w:w="344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3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3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50,009,000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49,769,739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49,926,083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50,901,289</w:t>
            </w:r>
          </w:p>
        </w:tc>
      </w:tr>
      <w:tr>
        <w:trPr>
          <w:trHeight w:val="230"/>
        </w:trPr>
        <w:tc>
          <w:tcPr>
            <w:tcW w:w="3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50,687,558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49,769,739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50,321,146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50,901,289</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Comprehensive Income (Loss)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ind w:left="1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310"/>
              <w:spacing w:after="0"/>
              <w:rPr>
                <w:sz w:val="20"/>
                <w:szCs w:val="20"/>
                <w:color w:val="auto"/>
              </w:rPr>
            </w:pPr>
            <w:r>
              <w:rPr>
                <w:rFonts w:ascii="Arial" w:cs="Arial" w:eastAsia="Arial" w:hAnsi="Arial"/>
                <w:sz w:val="18"/>
                <w:szCs w:val="18"/>
                <w:color w:val="auto"/>
              </w:rPr>
              <w:t>Nine Months Ended</w:t>
            </w:r>
          </w:p>
        </w:tc>
      </w:tr>
      <w:tr>
        <w:trPr>
          <w:trHeight w:val="217"/>
        </w:trPr>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40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8"/>
                <w:szCs w:val="18"/>
                <w:color w:val="auto"/>
              </w:rPr>
            </w:pPr>
          </w:p>
        </w:tc>
        <w:tc>
          <w:tcPr>
            <w:tcW w:w="2020" w:type="dxa"/>
            <w:vAlign w:val="bottom"/>
            <w:gridSpan w:val="4"/>
          </w:tcPr>
          <w:p>
            <w:pPr>
              <w:jc w:val="right"/>
              <w:ind w:right="510"/>
              <w:spacing w:after="0"/>
              <w:rPr>
                <w:sz w:val="20"/>
                <w:szCs w:val="20"/>
                <w:color w:val="auto"/>
              </w:rPr>
            </w:pPr>
            <w:r>
              <w:rPr>
                <w:rFonts w:ascii="Arial" w:cs="Arial" w:eastAsia="Arial" w:hAnsi="Arial"/>
                <w:sz w:val="18"/>
                <w:szCs w:val="18"/>
                <w:color w:val="auto"/>
              </w:rPr>
              <w:t>September 30,</w:t>
            </w:r>
          </w:p>
        </w:tc>
      </w:tr>
      <w:tr>
        <w:trPr>
          <w:trHeight w:val="183"/>
        </w:trPr>
        <w:tc>
          <w:tcPr>
            <w:tcW w:w="65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6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(1,383)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4,656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(217)</w:t>
            </w:r>
          </w:p>
        </w:tc>
      </w:tr>
      <w:tr>
        <w:trPr>
          <w:trHeight w:val="189"/>
        </w:trPr>
        <w:tc>
          <w:tcPr>
            <w:tcW w:w="6560" w:type="dxa"/>
            <w:vAlign w:val="bottom"/>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r>
      <w:tr>
        <w:trPr>
          <w:trHeight w:val="183"/>
        </w:trPr>
        <w:tc>
          <w:tcPr>
            <w:tcW w:w="6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656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ind w:left="400"/>
              <w:spacing w:after="0" w:line="182" w:lineRule="exact"/>
              <w:rPr>
                <w:sz w:val="20"/>
                <w:szCs w:val="20"/>
                <w:color w:val="auto"/>
              </w:rPr>
            </w:pPr>
            <w:r>
              <w:rPr>
                <w:rFonts w:ascii="Arial" w:cs="Arial" w:eastAsia="Arial" w:hAnsi="Arial"/>
                <w:sz w:val="18"/>
                <w:szCs w:val="18"/>
                <w:b w:val="1"/>
                <w:bCs w:val="1"/>
                <w:color w:val="auto"/>
                <w:w w:val="93"/>
              </w:rPr>
              <w:t>1,949</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(1,420)</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4,677</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(252)</w:t>
            </w: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jc w:val="center"/>
        <w:ind w:right="40"/>
        <w:spacing w:after="0" w:line="219" w:lineRule="auto"/>
        <w:rPr>
          <w:sz w:val="20"/>
          <w:szCs w:val="20"/>
          <w:color w:val="auto"/>
        </w:rPr>
      </w:pPr>
      <w:r>
        <w:rPr>
          <w:rFonts w:ascii="Arial" w:cs="Arial" w:eastAsia="Arial" w:hAnsi="Arial"/>
          <w:sz w:val="18"/>
          <w:szCs w:val="18"/>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20" w:type="dxa"/>
            <w:vAlign w:val="bottom"/>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Retained</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other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paid-in</w:t>
            </w: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earnings</w:t>
            </w: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comprehensive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1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income (loss)</w:t>
            </w:r>
          </w:p>
        </w:tc>
        <w:tc>
          <w:tcPr>
            <w:tcW w:w="240" w:type="dxa"/>
            <w:vAlign w:val="bottom"/>
          </w:tcPr>
          <w:p>
            <w:pPr>
              <w:spacing w:after="0"/>
              <w:rPr>
                <w:sz w:val="14"/>
                <w:szCs w:val="14"/>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2019</w:t>
            </w:r>
          </w:p>
        </w:tc>
        <w:tc>
          <w:tcPr>
            <w:tcW w:w="1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50,615,489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157,961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(19,889)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138,023</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Issuance of restricted shares</w:t>
            </w: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vMerge w:val="continue"/>
          </w:tcPr>
          <w:p>
            <w:pPr>
              <w:spacing w:after="0"/>
              <w:rPr>
                <w:sz w:val="14"/>
                <w:szCs w:val="14"/>
                <w:color w:val="auto"/>
              </w:rPr>
            </w:pPr>
          </w:p>
        </w:tc>
        <w:tc>
          <w:tcPr>
            <w:tcW w:w="1460" w:type="dxa"/>
            <w:vAlign w:val="bottom"/>
          </w:tcPr>
          <w:p>
            <w:pPr>
              <w:jc w:val="right"/>
              <w:spacing w:after="0" w:line="170" w:lineRule="exact"/>
              <w:rPr>
                <w:sz w:val="20"/>
                <w:szCs w:val="20"/>
                <w:color w:val="auto"/>
              </w:rPr>
            </w:pPr>
            <w:r>
              <w:rPr>
                <w:rFonts w:ascii="Arial" w:cs="Arial" w:eastAsia="Arial" w:hAnsi="Arial"/>
                <w:sz w:val="18"/>
                <w:szCs w:val="18"/>
                <w:color w:val="auto"/>
              </w:rPr>
              <w:t>309,305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(112,740)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660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61"/>
        </w:trPr>
        <w:tc>
          <w:tcPr>
            <w:tcW w:w="39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4"/>
              </w:rPr>
              <w:t>Tax withholdings related to net share settlements of</w:t>
            </w:r>
          </w:p>
        </w:tc>
        <w:tc>
          <w:tcPr>
            <w:tcW w:w="1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8"/>
                <w:szCs w:val="18"/>
                <w:color w:val="auto"/>
              </w:rPr>
              <w:t>Dividends paid ($0.05 per share)</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(2,494)</w:t>
            </w:r>
          </w:p>
        </w:tc>
        <w:tc>
          <w:tcPr>
            <w:tcW w:w="1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8"/>
                <w:szCs w:val="18"/>
                <w:color w:val="auto"/>
              </w:rPr>
              <w:t>Net loss</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(1,383)</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30, 2019</w:t>
            </w:r>
          </w:p>
        </w:tc>
        <w:tc>
          <w:tcPr>
            <w:tcW w:w="1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50,812,054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156,037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(21,272)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134,679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2020</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51,370,167</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157,493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134,638</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Issuance of restricted shares</w:t>
            </w: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1460" w:type="dxa"/>
            <w:vAlign w:val="bottom"/>
          </w:tcPr>
          <w:p>
            <w:pPr>
              <w:jc w:val="right"/>
              <w:spacing w:after="0" w:line="170" w:lineRule="exact"/>
              <w:rPr>
                <w:sz w:val="20"/>
                <w:szCs w:val="20"/>
                <w:color w:val="auto"/>
              </w:rPr>
            </w:pPr>
            <w:r>
              <w:rPr>
                <w:rFonts w:ascii="Arial" w:cs="Arial" w:eastAsia="Arial" w:hAnsi="Arial"/>
                <w:sz w:val="18"/>
                <w:szCs w:val="18"/>
                <w:color w:val="auto"/>
              </w:rPr>
              <w:t>359,233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(35,945)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567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161"/>
        </w:trPr>
        <w:tc>
          <w:tcPr>
            <w:tcW w:w="39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4"/>
              </w:rPr>
              <w:t>Tax withholdings related to net share settlements of</w:t>
            </w:r>
          </w:p>
        </w:tc>
        <w:tc>
          <w:tcPr>
            <w:tcW w:w="1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9"/>
        </w:trPr>
        <w:tc>
          <w:tcPr>
            <w:tcW w:w="392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183"/>
        </w:trPr>
        <w:tc>
          <w:tcPr>
            <w:tcW w:w="392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September 30, 2020</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51,693,455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158,037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(20,862)</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137,131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jc w:val="center"/>
        <w:ind w:right="40"/>
        <w:spacing w:after="0" w:line="219" w:lineRule="auto"/>
        <w:rPr>
          <w:sz w:val="20"/>
          <w:szCs w:val="20"/>
          <w:color w:val="auto"/>
        </w:rPr>
      </w:pPr>
      <w:r>
        <w:rPr>
          <w:rFonts w:ascii="Arial" w:cs="Arial" w:eastAsia="Arial" w:hAnsi="Arial"/>
          <w:sz w:val="18"/>
          <w:szCs w:val="18"/>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32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Retained</w:t>
            </w:r>
          </w:p>
        </w:tc>
        <w:tc>
          <w:tcPr>
            <w:tcW w:w="1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other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paid-in</w:t>
            </w: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c>
          <w:tcPr>
            <w:tcW w:w="1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comprehensive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income (loss)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2018</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52,707,879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172,255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(25,857)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Adoption of lease standard</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4,802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January 1, 2019</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52,707,879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172,255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(21,055)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151,149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Issuance of restricted shares</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vMerge w:val="continue"/>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666,753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(255,555)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Repurchase of common stock</w:t>
            </w:r>
          </w:p>
        </w:tc>
        <w:tc>
          <w:tcPr>
            <w:tcW w:w="12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(2,307,023)</w:t>
            </w: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(10,455)</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161"/>
        </w:trPr>
        <w:tc>
          <w:tcPr>
            <w:tcW w:w="4320" w:type="dxa"/>
            <w:vAlign w:val="bottom"/>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Dividends paid ($0.15 per share)</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(7,706)</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September 30, 2019</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50,812,054</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156,037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(21,272)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134,679</w:t>
            </w:r>
          </w:p>
        </w:tc>
        <w:tc>
          <w:tcPr>
            <w:tcW w:w="0" w:type="dxa"/>
            <w:vAlign w:val="bottom"/>
          </w:tcPr>
          <w:p>
            <w:pPr>
              <w:spacing w:after="0"/>
              <w:rPr>
                <w:sz w:val="1"/>
                <w:szCs w:val="1"/>
                <w:color w:val="auto"/>
              </w:rPr>
            </w:pPr>
          </w:p>
        </w:tc>
      </w:tr>
      <w:tr>
        <w:trPr>
          <w:trHeight w:val="169"/>
        </w:trPr>
        <w:tc>
          <w:tcPr>
            <w:tcW w:w="432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50,806,674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156,482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(25,518)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169"/>
        </w:trPr>
        <w:tc>
          <w:tcPr>
            <w:tcW w:w="4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Issuance of restricted shares</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1,057,336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(170,555)</w:t>
            </w: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161"/>
        </w:trPr>
        <w:tc>
          <w:tcPr>
            <w:tcW w:w="4320" w:type="dxa"/>
            <w:vAlign w:val="bottom"/>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4,656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30, 2020</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51,693,455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158,037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(20,862)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137,131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6"/>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8360" w:type="dxa"/>
            <w:vAlign w:val="bottom"/>
          </w:tcPr>
          <w:p>
            <w:pPr>
              <w:ind w:left="4160"/>
              <w:spacing w:after="0" w:line="189" w:lineRule="exact"/>
              <w:rPr>
                <w:sz w:val="20"/>
                <w:szCs w:val="20"/>
                <w:color w:val="auto"/>
              </w:rPr>
            </w:pPr>
            <w:r>
              <w:rPr>
                <w:rFonts w:ascii="Arial" w:cs="Arial" w:eastAsia="Arial" w:hAnsi="Arial"/>
                <w:sz w:val="18"/>
                <w:szCs w:val="18"/>
                <w:color w:val="auto"/>
              </w:rPr>
              <w:t>Consolidated Statements of Cash Flows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360" w:type="dxa"/>
            <w:vAlign w:val="bottom"/>
          </w:tcPr>
          <w:p>
            <w:pPr>
              <w:jc w:val="center"/>
              <w:ind w:left="2790"/>
              <w:spacing w:after="0" w:line="189" w:lineRule="exact"/>
              <w:rPr>
                <w:sz w:val="20"/>
                <w:szCs w:val="20"/>
                <w:color w:val="auto"/>
              </w:rPr>
            </w:pPr>
            <w:r>
              <w:rPr>
                <w:rFonts w:ascii="Arial" w:cs="Arial" w:eastAsia="Arial" w:hAnsi="Arial"/>
                <w:sz w:val="18"/>
                <w:szCs w:val="18"/>
                <w:color w:val="auto"/>
                <w:w w:val="90"/>
              </w:rPr>
              <w:t>(dollars in thousands)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8360" w:type="dxa"/>
            <w:vAlign w:val="bottom"/>
          </w:tcPr>
          <w:p>
            <w:pPr>
              <w:jc w:val="center"/>
              <w:ind w:left="27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5"/>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17"/>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8"/>
                <w:szCs w:val="18"/>
                <w:color w:val="auto"/>
              </w:rPr>
            </w:pPr>
          </w:p>
        </w:tc>
      </w:tr>
      <w:tr>
        <w:trPr>
          <w:trHeight w:val="183"/>
        </w:trPr>
        <w:tc>
          <w:tcPr>
            <w:tcW w:w="83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w w:val="94"/>
              </w:rPr>
              <w:t>2019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4,656</w:t>
            </w:r>
          </w:p>
        </w:tc>
        <w:tc>
          <w:tcPr>
            <w:tcW w:w="80" w:type="dxa"/>
            <w:vAlign w:val="bottom"/>
          </w:tcPr>
          <w:p>
            <w:pPr>
              <w:spacing w:after="0"/>
              <w:rPr>
                <w:sz w:val="16"/>
                <w:szCs w:val="16"/>
                <w:color w:val="auto"/>
              </w:rPr>
            </w:pPr>
          </w:p>
        </w:tc>
        <w:tc>
          <w:tcPr>
            <w:tcW w:w="540" w:type="dxa"/>
            <w:vAlign w:val="bottom"/>
            <w:gridSpan w:val="2"/>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(217)</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23,738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24,508</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446</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90</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Impairment charges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17,895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17,178</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1,671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2,169</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741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190</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(1,527)</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24,666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10,015</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(1,953)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(2,677)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(3,307)</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(4,576)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(362)</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(15,618)</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57,347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33,612</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(1,315)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(22,839)</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Proceeds from insurance</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610</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(22,229)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(120,262)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(43,153)</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64,100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53,000</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(7,706)</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(10,455)</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(226)</w:t>
            </w:r>
          </w:p>
        </w:tc>
      </w:tr>
      <w:tr>
        <w:trPr>
          <w:trHeight w:val="182"/>
        </w:trPr>
        <w:tc>
          <w:tcPr>
            <w:tcW w:w="836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(56,278)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(8,540)</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2,814</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9,919</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6,382</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9,696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9,196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8,961</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8,371</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735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825</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9,696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9,196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Purchases of property, plant and equipment included in accounts payable and accrued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6"/>
                <w:szCs w:val="16"/>
                <w:color w:val="auto"/>
              </w:rPr>
            </w:pPr>
          </w:p>
        </w:tc>
        <w:tc>
          <w:tcPr>
            <w:tcW w:w="540" w:type="dxa"/>
            <w:vAlign w:val="bottom"/>
            <w:gridSpan w:val="2"/>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1,320</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2,853</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Cash paid for income taxes,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r>
    </w:tbl>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7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Tile Shop Holdings, Inc. (“Holdings,” and together with its wholly owned subsidiaries, the “Company” or “we”) was incorporated in Delaware in June 2012.</w:t>
      </w:r>
    </w:p>
    <w:p>
      <w:pPr>
        <w:spacing w:after="0" w:line="14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2020, the Company had 142 stores in 31 states and the District of Columbia, with an average size of approximately 20,000 square feet. The Company has distribution centers located in Michigan, New Jersey, Oklahoma, Virginia and Wisconsin. The Company has a sourcing operation located in China.</w:t>
      </w:r>
    </w:p>
    <w:p>
      <w:pPr>
        <w:spacing w:after="0" w:line="15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2020 are not necessarily indicative of the results that may be expected for the fiscal year ending December 31, 2020.</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2019. The accounting policies used in preparing these Consolidated Financial Statements are the same as those described in Note 1 to the Consolidated Financial Statements in such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Certain amounts in the prior year’s financial statements have been reclassified for comparative purposes to conform to the current year’s presentations. Specifically, the Company elected to change the way it presents cash flows from operating leases in its Statement of Cash Flows. In prior periods, the Company had presented the net change in the right of use asset and lease liabilities as a change in leases within the operating section of the Statement of Cash Flows. During the third quarter of 2020, the Company determined it would be more appropriate to disaggregate this activity. The amortization of right of use assets is now presented as a non-cash lease expense within the operating section of the Statement of Cash Flows. Lease payments, net of the accretion of lease liabilities, are now presented as a change in accrued expenses and other liabilities within the operating section of the Statement of Cash Flows. The impact of this change on the Statement of Cash Flows presented as of September 30, 2019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w w:val="99"/>
              </w:rPr>
              <w:t>Previously Reported</w:t>
            </w:r>
          </w:p>
        </w:tc>
        <w:tc>
          <w:tcPr>
            <w:tcW w:w="28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As Revised</w:t>
            </w:r>
          </w:p>
        </w:tc>
      </w:tr>
      <w:tr>
        <w:trPr>
          <w:trHeight w:val="182"/>
        </w:trPr>
        <w:tc>
          <w:tcPr>
            <w:tcW w:w="6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Change in leases</w:t>
            </w: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(1,267)</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17,178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17,178</w:t>
            </w:r>
          </w:p>
        </w:tc>
      </w:tr>
      <w:tr>
        <w:trPr>
          <w:trHeight w:val="189"/>
        </w:trPr>
        <w:tc>
          <w:tcPr>
            <w:tcW w:w="6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9"/>
        </w:trPr>
        <w:tc>
          <w:tcPr>
            <w:tcW w:w="6040" w:type="dxa"/>
            <w:vAlign w:val="bottom"/>
          </w:tcPr>
          <w:p>
            <w:pPr>
              <w:ind w:left="280"/>
              <w:spacing w:after="0" w:line="189" w:lineRule="exact"/>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2,827</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(18,445)</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(15,618)</w:t>
            </w:r>
          </w:p>
        </w:tc>
      </w:tr>
      <w:tr>
        <w:trPr>
          <w:trHeight w:val="189"/>
        </w:trPr>
        <w:tc>
          <w:tcPr>
            <w:tcW w:w="6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33,612</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33,612</w:t>
            </w:r>
          </w:p>
        </w:tc>
      </w:tr>
    </w:tbl>
    <w:p>
      <w:pPr>
        <w:spacing w:after="0" w:line="17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impact of this change in classification has no impact on the Company’s pretax earnings, earnings per share, net cash provided by operating activities, or balance sheets in any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June 2016, the Financial Accounting Standards Board (“FASB”) issued a final standard on accounting for credit losses. The new standard was initially effective for the Company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5" w:lineRule="exact"/>
        <w:rPr>
          <w:sz w:val="20"/>
          <w:szCs w:val="20"/>
          <w:color w:val="auto"/>
        </w:rPr>
      </w:pPr>
    </w:p>
    <w:p>
      <w:pPr>
        <w:ind w:right="760"/>
        <w:spacing w:after="0" w:line="228" w:lineRule="auto"/>
        <w:rPr>
          <w:sz w:val="20"/>
          <w:szCs w:val="20"/>
          <w:color w:val="auto"/>
        </w:rPr>
      </w:pPr>
      <w:r>
        <w:rPr>
          <w:rFonts w:ascii="Arial" w:cs="Arial" w:eastAsia="Arial" w:hAnsi="Arial"/>
          <w:sz w:val="18"/>
          <w:szCs w:val="18"/>
          <w:color w:val="auto"/>
        </w:rPr>
        <w:t>date of Accounting Standards Update 2016-13, the standard on accounting for credit losses, for public filers that are considered smaller reporting companies as defined by the Securities and Exchange Commission to fiscal years beginning after December 15,</w:t>
      </w:r>
    </w:p>
    <w:p>
      <w:pPr>
        <w:spacing w:after="0" w:line="1"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2022, including interim periods within those years. Early adoption is permitted. The Company is evaluating the effect of this standard on its consolidated financial statements and related disclosures.</w:t>
      </w:r>
    </w:p>
    <w:p>
      <w:pPr>
        <w:spacing w:after="0" w:line="14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beginning of the reporting period when the election is made through December 31, 2022. The Company is currently evaluating the impact this guidance will have on its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the COVID-19 Pandemic</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COVID-19 pandemic has impacted, and is likely to continue impacting, the Company’s operations. As previously announced, the Company took steps to reduce selling, general and administrative (“SG&amp;A”) expenses by eliminating a portion of its workforce, curtailing advertising spending, reducing the number of replenishment trucks sent from the Company’s distribution centers to its stores and limiting other SG&amp;A spending when possible. As traffic and sales started to recover toward the end of the second quarter of 2020, the Company took a cautious approach to investing in activities that would increase its SG&amp;A expenses. While many retailers elected to expand their hours as state and local restrictions started to ease, the Company maintained a reduced hours schedule throughout the third quarter of 2020. The decision to limit the number of hours that the Company’s stores were open had an adverse impact on traffic and sales, which contributed to a 6.5% decrease in sales at comparable stores; however, the SG&amp;A savings realized contributed to a $3.5 million improvement in operating income during the third quarter of 2020 when compared to the third quarter of 2019.</w:t>
      </w:r>
    </w:p>
    <w:p>
      <w:pPr>
        <w:spacing w:after="0" w:line="13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During the third quarter of 2020, the Company continued to follow a practice to close its stores, quarantine affected staff and complete a rigorous cleaning process before reopening the store when a health risk was identified. This process can take 2-3 days to complete and has had an adverse impact on the Company’s sales. The Company is committed to continuing this practice to help protect the health of its employees and customers.</w:t>
      </w:r>
    </w:p>
    <w:p>
      <w:pPr>
        <w:spacing w:after="0" w:line="138" w:lineRule="exact"/>
        <w:rPr>
          <w:sz w:val="20"/>
          <w:szCs w:val="20"/>
          <w:color w:val="auto"/>
        </w:rPr>
      </w:pPr>
    </w:p>
    <w:p>
      <w:pPr>
        <w:jc w:val="both"/>
        <w:ind w:right="60"/>
        <w:spacing w:after="0" w:line="231" w:lineRule="auto"/>
        <w:rPr>
          <w:sz w:val="20"/>
          <w:szCs w:val="20"/>
          <w:color w:val="auto"/>
        </w:rPr>
      </w:pPr>
      <w:r>
        <w:rPr>
          <w:rFonts w:ascii="Arial" w:cs="Arial" w:eastAsia="Arial" w:hAnsi="Arial"/>
          <w:sz w:val="18"/>
          <w:szCs w:val="18"/>
          <w:color w:val="auto"/>
        </w:rPr>
        <w:t>The Company experienced an elevated level of product outages during the third quarter due to vendor production delays. In many instances, vendor plants were forced to close or operate at a reduced capacity pursuant to a government mandate following the onset of COVID-19. While most vendors have been able to resume normal operations, many continue to work through large backlogs. The Company is actively partnering with its vendors to secure delivery of backordered product.</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CARES Act contains provisions for deferral of the employer portion of social security taxes incurred through the end of calendar 2020. As of September 30, 2020, the Company has deferred $1.6 million in social security tax payments, of which 50% are required to be remitted by December 2021 and the remaining 50% by December 2022. The deferred amounts are recorded as a liability within other accrued liabilities in the Company’s consolidated balance sheets.</w:t>
      </w:r>
    </w:p>
    <w:p>
      <w:pPr>
        <w:spacing w:after="0" w:line="14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While the Company is cautiously optimistic with the current business trend, the recent escalation of COVID-19 cases across many of the markets that the Company serves could have a negative impact on the Company. Specifically, the Company could be adversely impacted by limitations on the Company’s employees to perform their work due to illness caused by the pandemic or local, state, or federal orders requiring the Company’s stores to close or employees to remain at home; limitation of carriers to deliver the Company’s product to customers; product shortages; limitations on the ability of the Company’s customers to conduct their business and purchase the Company’s products and services; and limitations on the ability of the Company’s customers to pay the Company in a timely manner. These events could have a material, adverse effect on the Company’s results of operations, cash flows and liquidity. In addition, even after the COVID-19 pandemic has subsided, the Company may continue to experience adverse impacts to its business as a result of the economic impact of the pandemic, including the current recession and any recession that may occur in the future.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Revenues</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7"/>
        </w:trPr>
        <w:tc>
          <w:tcPr>
            <w:tcW w:w="6340" w:type="dxa"/>
            <w:vAlign w:val="bottom"/>
          </w:tcPr>
          <w:p>
            <w:pPr>
              <w:spacing w:after="0"/>
              <w:rPr>
                <w:sz w:val="24"/>
                <w:szCs w:val="24"/>
                <w:color w:val="auto"/>
              </w:rPr>
            </w:pPr>
          </w:p>
        </w:tc>
        <w:tc>
          <w:tcPr>
            <w:tcW w:w="250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For the three months ended</w:t>
            </w:r>
          </w:p>
        </w:tc>
        <w:tc>
          <w:tcPr>
            <w:tcW w:w="2400" w:type="dxa"/>
            <w:vAlign w:val="bottom"/>
            <w:gridSpan w:val="3"/>
          </w:tcPr>
          <w:p>
            <w:pPr>
              <w:jc w:val="right"/>
              <w:ind w:right="150"/>
              <w:spacing w:after="0"/>
              <w:rPr>
                <w:sz w:val="20"/>
                <w:szCs w:val="20"/>
                <w:color w:val="auto"/>
              </w:rPr>
            </w:pPr>
            <w:r>
              <w:rPr>
                <w:rFonts w:ascii="Arial" w:cs="Arial" w:eastAsia="Arial" w:hAnsi="Arial"/>
                <w:sz w:val="18"/>
                <w:szCs w:val="18"/>
                <w:color w:val="auto"/>
                <w:w w:val="99"/>
              </w:rPr>
              <w:t>For the nine months ended</w:t>
            </w:r>
          </w:p>
        </w:tc>
      </w:tr>
      <w:tr>
        <w:trPr>
          <w:trHeight w:val="217"/>
        </w:trPr>
        <w:tc>
          <w:tcPr>
            <w:tcW w:w="6340" w:type="dxa"/>
            <w:vAlign w:val="bottom"/>
          </w:tcPr>
          <w:p>
            <w:pPr>
              <w:spacing w:after="0"/>
              <w:rPr>
                <w:sz w:val="18"/>
                <w:szCs w:val="18"/>
                <w:color w:val="auto"/>
              </w:rPr>
            </w:pPr>
          </w:p>
        </w:tc>
        <w:tc>
          <w:tcPr>
            <w:tcW w:w="250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2400" w:type="dxa"/>
            <w:vAlign w:val="bottom"/>
            <w:gridSpan w:val="3"/>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183"/>
        </w:trPr>
        <w:tc>
          <w:tcPr>
            <w:tcW w:w="63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6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47 %</w:t>
            </w: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1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28</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12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13</w:t>
            </w: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1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11</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120" w:type="dxa"/>
            <w:vAlign w:val="bottom"/>
            <w:tcBorders>
              <w:bottom w:val="single" w:sz="8" w:color="auto"/>
            </w:tcBorders>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w:t>
            </w:r>
          </w:p>
        </w:tc>
      </w:tr>
      <w:tr>
        <w:trPr>
          <w:trHeight w:val="183"/>
        </w:trPr>
        <w:tc>
          <w:tcPr>
            <w:tcW w:w="634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3" w:lineRule="exact"/>
        <w:rPr>
          <w:sz w:val="20"/>
          <w:szCs w:val="20"/>
          <w:color w:val="auto"/>
        </w:rPr>
      </w:pPr>
    </w:p>
    <w:p>
      <w:pPr>
        <w:ind w:left="660" w:right="80"/>
        <w:spacing w:after="0" w:line="231"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48"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Customer deposits are presented as an other accrued liability in the Consolidated Balance Sheet. The customer deposit balance was $12.0 million and $7.7 million as of September 30, 2020 and December 31, 2019, respectively. Revenues recognized during the nine months ended September 30, 2020 that were included in the customer deposit balance as of the beginning of the year were $7.6 million.</w:t>
      </w:r>
    </w:p>
    <w:p>
      <w:pPr>
        <w:spacing w:after="0" w:line="137"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Company extends financing to qualified professional customers who apply for credit. Customers who qualify for an account receive 30-day payment terms. The accounts receivable balance was $3.3 million and $3.4 million at September 30, 2020 and December 31, 2019, respectively.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44" w:lineRule="exact"/>
        <w:rPr>
          <w:sz w:val="20"/>
          <w:szCs w:val="20"/>
          <w:color w:val="auto"/>
        </w:rPr>
      </w:pPr>
    </w:p>
    <w:p>
      <w:pPr>
        <w:jc w:val="both"/>
        <w:ind w:right="360"/>
        <w:spacing w:after="0" w:line="260"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September 30, 2020 and December 31, 2019 are as follows:</w:t>
      </w:r>
    </w:p>
    <w:tbl>
      <w:tblPr>
        <w:tblLayout w:type="fixed"/>
        <w:tblInd w:w="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jc w:val="right"/>
              <w:ind w:right="850"/>
              <w:spacing w:after="0" w:line="175"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current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5,760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5,434</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1,790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1,659</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3,970</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3,775</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75"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September 30, 2020 and December 31, 2019: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71,172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95,435</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1,782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2,185</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72,954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97,620</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$1.3 million and $0.2 million as of September 30, 2020 and December 31,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75"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The Coronavirus Aid, Relief, and Economic Security Act (the “CARES Act”), enacted on March 27, 2020, includes significant income and payroll tax provisions. Additionally, the CARES Act modified the rules associated with net operating losses (“NOLs”) and made technical corrections to tax depreciation methods for qualified improvement property. Under the temporary provisions of CARES Act, NOL carryforwards and carrybacks may offset 100% of taxable income for taxable years beginning before 2021. In addition, NOLs arising in 2018, 2019 and 2020 taxable years may be carried back to each of the preceding five years to generate a refund.</w:t>
      </w:r>
    </w:p>
    <w:p>
      <w:pPr>
        <w:spacing w:after="0" w:line="15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Company's effective tax rate for the three months ended September 30, 2020 and 2019 was 28.1% and 16.5%, respectively. The Company's effective tax rate for the nine months ended September 30, 2020 and 2019 was (126.6)% and 265.7%, respectively. The difference between the Company’s effective rate of (126.6)% and the expected federal statutory rate of 21.0% for the nine months ended September 30, 2020 was primarily due to finalization of the impacts of the CARES Act, which gives the Company the ability to carry back federal NOLs to years with a federal statutory tax rate of 35%. For the three months ended September 30, 2020 and 2019, the Company recorded a provision (benefit) for income taxes of $0.7 million and $(0.3) million, respectively. The increase in the provision for income taxes for the three months ended September 30, 2020 was due to an increase in pretax income. For the nine months ended September 30, 2020 and 2019, the Company recorded a (benefit) provision for income taxes of $(2.6) million and $0.3 million, respectively. The decrease in the provision for income taxes for the nine months ended September 30, 2020 is due to the benefit generated from the NOL carryback tax rate differential.</w:t>
      </w:r>
    </w:p>
    <w:p>
      <w:pPr>
        <w:spacing w:after="0" w:line="153" w:lineRule="exact"/>
        <w:rPr>
          <w:sz w:val="20"/>
          <w:szCs w:val="20"/>
          <w:color w:val="auto"/>
        </w:rPr>
      </w:pPr>
    </w:p>
    <w:p>
      <w:pPr>
        <w:jc w:val="both"/>
        <w:ind w:right="420"/>
        <w:spacing w:after="0" w:line="235"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when applicable. As of September 30, 2020, and 2019, the Company has not recognized any liabilities for uncertain tax positions, nor have interest and penalties related to uncertain tax positions been accrued.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17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Basic earnings (loss) per share is calculated by dividing net income (loss) by the weighted-average number of common shares outstanding during the period. Diluted earnings (loss) per share is calculated by dividing net income (loss) by the weighted-average number of common shares outstanding, after taking into consideration all dilutive potential shares outstanding during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Basic and diluted earnings (loss) per share were calculated as follows:</w:t>
            </w:r>
          </w:p>
        </w:tc>
        <w:tc>
          <w:tcPr>
            <w:tcW w:w="180" w:type="dxa"/>
            <w:vAlign w:val="bottom"/>
          </w:tcPr>
          <w:p>
            <w:pPr>
              <w:spacing w:after="0"/>
              <w:rPr>
                <w:sz w:val="20"/>
                <w:szCs w:val="20"/>
                <w:color w:val="auto"/>
              </w:rPr>
            </w:pPr>
          </w:p>
        </w:tc>
        <w:tc>
          <w:tcPr>
            <w:tcW w:w="4980" w:type="dxa"/>
            <w:vAlign w:val="bottom"/>
            <w:gridSpan w:val="15"/>
            <w:vMerge w:val="restart"/>
          </w:tcPr>
          <w:p>
            <w:pPr>
              <w:ind w:left="280"/>
              <w:spacing w:after="0"/>
              <w:rPr>
                <w:sz w:val="20"/>
                <w:szCs w:val="20"/>
                <w:color w:val="auto"/>
              </w:rPr>
            </w:pPr>
            <w:r>
              <w:rPr>
                <w:rFonts w:ascii="Arial" w:cs="Arial" w:eastAsia="Arial" w:hAnsi="Arial"/>
                <w:sz w:val="18"/>
                <w:szCs w:val="18"/>
                <w:color w:val="auto"/>
                <w:w w:val="98"/>
              </w:rPr>
              <w:t>(all amounts in thousands except share and per share data)</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7"/>
          </w:tcPr>
          <w:p>
            <w:pPr>
              <w:jc w:val="center"/>
              <w:ind w:right="240"/>
              <w:spacing w:after="0" w:line="189" w:lineRule="exact"/>
              <w:rPr>
                <w:sz w:val="20"/>
                <w:szCs w:val="20"/>
                <w:color w:val="auto"/>
              </w:rPr>
            </w:pPr>
            <w:r>
              <w:rPr>
                <w:rFonts w:ascii="Arial" w:cs="Arial" w:eastAsia="Arial" w:hAnsi="Arial"/>
                <w:sz w:val="18"/>
                <w:szCs w:val="18"/>
                <w:color w:val="auto"/>
                <w:w w:val="88"/>
              </w:rPr>
              <w:t>For the three months ended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6"/>
          </w:tcPr>
          <w:p>
            <w:pPr>
              <w:jc w:val="right"/>
              <w:ind w:right="230"/>
              <w:spacing w:after="0" w:line="189" w:lineRule="exact"/>
              <w:rPr>
                <w:sz w:val="20"/>
                <w:szCs w:val="20"/>
                <w:color w:val="auto"/>
              </w:rPr>
            </w:pPr>
            <w:r>
              <w:rPr>
                <w:rFonts w:ascii="Arial" w:cs="Arial" w:eastAsia="Arial" w:hAnsi="Arial"/>
                <w:sz w:val="18"/>
                <w:szCs w:val="18"/>
                <w:color w:val="auto"/>
                <w:w w:val="96"/>
              </w:rPr>
              <w:t>For the nine months ended</w:t>
            </w:r>
          </w:p>
        </w:tc>
        <w:tc>
          <w:tcPr>
            <w:tcW w:w="0" w:type="dxa"/>
            <w:vAlign w:val="bottom"/>
          </w:tcPr>
          <w:p>
            <w:pPr>
              <w:spacing w:after="0"/>
              <w:rPr>
                <w:sz w:val="1"/>
                <w:szCs w:val="1"/>
                <w:color w:val="auto"/>
              </w:rPr>
            </w:pPr>
          </w:p>
        </w:tc>
      </w:tr>
      <w:tr>
        <w:trPr>
          <w:trHeight w:val="217"/>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7"/>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6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280"/>
              <w:spacing w:after="0" w:line="182" w:lineRule="exact"/>
              <w:rPr>
                <w:sz w:val="20"/>
                <w:szCs w:val="20"/>
                <w:color w:val="auto"/>
              </w:rPr>
            </w:pPr>
            <w:r>
              <w:rPr>
                <w:rFonts w:ascii="Arial" w:cs="Arial" w:eastAsia="Arial" w:hAnsi="Arial"/>
                <w:sz w:val="18"/>
                <w:szCs w:val="18"/>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1,914</w:t>
            </w: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(1,383)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4,656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w w:val="97"/>
              </w:rPr>
              <w:t>50,009,000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
              <w:spacing w:after="0" w:line="189" w:lineRule="exact"/>
              <w:rPr>
                <w:sz w:val="20"/>
                <w:szCs w:val="20"/>
                <w:color w:val="auto"/>
              </w:rPr>
            </w:pPr>
            <w:r>
              <w:rPr>
                <w:rFonts w:ascii="Arial" w:cs="Arial" w:eastAsia="Arial" w:hAnsi="Arial"/>
                <w:sz w:val="18"/>
                <w:szCs w:val="18"/>
                <w:color w:val="auto"/>
                <w:w w:val="99"/>
              </w:rPr>
              <w:t>49,769,739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49,926,083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90"/>
              </w:rPr>
              <w:t>50,901,289</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678,558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395,063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50,687,558</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
              <w:spacing w:after="0" w:line="182" w:lineRule="exact"/>
              <w:rPr>
                <w:sz w:val="20"/>
                <w:szCs w:val="20"/>
                <w:color w:val="auto"/>
              </w:rPr>
            </w:pPr>
            <w:r>
              <w:rPr>
                <w:rFonts w:ascii="Arial" w:cs="Arial" w:eastAsia="Arial" w:hAnsi="Arial"/>
                <w:sz w:val="18"/>
                <w:szCs w:val="18"/>
                <w:color w:val="auto"/>
                <w:w w:val="99"/>
              </w:rPr>
              <w:t>49,769,739</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color w:val="auto"/>
              </w:rPr>
              <w:t>50,321,146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50,901,289</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per common share:</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60" w:type="dxa"/>
            <w:vAlign w:val="bottom"/>
          </w:tcPr>
          <w:p>
            <w:pPr>
              <w:spacing w:after="0"/>
              <w:rPr>
                <w:sz w:val="16"/>
                <w:szCs w:val="16"/>
                <w:color w:val="auto"/>
              </w:rPr>
            </w:pP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0.09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Anti-dilutive securities excluded from earnings per share calculation</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1,640,389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5,047,633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1,733,475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2,614,058</w:t>
            </w:r>
          </w:p>
        </w:tc>
        <w:tc>
          <w:tcPr>
            <w:tcW w:w="0" w:type="dxa"/>
            <w:vAlign w:val="bottom"/>
          </w:tcPr>
          <w:p>
            <w:pPr>
              <w:spacing w:after="0"/>
              <w:rPr>
                <w:sz w:val="1"/>
                <w:szCs w:val="1"/>
                <w:color w:val="auto"/>
              </w:rPr>
            </w:pPr>
          </w:p>
        </w:tc>
      </w:tr>
      <w:tr>
        <w:trPr>
          <w:trHeight w:val="539"/>
        </w:trPr>
        <w:tc>
          <w:tcPr>
            <w:tcW w:w="6080" w:type="dxa"/>
            <w:vAlign w:val="bottom"/>
          </w:tcPr>
          <w:p>
            <w:pPr>
              <w:spacing w:after="0"/>
              <w:rPr>
                <w:sz w:val="20"/>
                <w:szCs w:val="20"/>
                <w:color w:val="auto"/>
              </w:rPr>
            </w:pPr>
            <w:r>
              <w:rPr>
                <w:rFonts w:ascii="Arial" w:cs="Arial" w:eastAsia="Arial" w:hAnsi="Arial"/>
                <w:sz w:val="18"/>
                <w:szCs w:val="18"/>
                <w:b w:val="1"/>
                <w:bCs w:val="1"/>
                <w:color w:val="auto"/>
              </w:rPr>
              <w:t>Note 7: Other Accrued Liabilities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vMerge w:val="restart"/>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5"/>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gridSpan w:val="6"/>
          </w:tcPr>
          <w:p>
            <w:pPr>
              <w:jc w:val="right"/>
              <w:ind w:right="300"/>
              <w:spacing w:after="0" w:line="189" w:lineRule="exact"/>
              <w:rPr>
                <w:sz w:val="20"/>
                <w:szCs w:val="20"/>
                <w:color w:val="auto"/>
              </w:rPr>
            </w:pPr>
            <w:r>
              <w:rPr>
                <w:rFonts w:ascii="Arial" w:cs="Arial" w:eastAsia="Arial" w:hAnsi="Arial"/>
                <w:sz w:val="18"/>
                <w:szCs w:val="18"/>
                <w:color w:val="auto"/>
                <w:w w:val="99"/>
              </w:rPr>
              <w:t>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17"/>
        </w:trPr>
        <w:tc>
          <w:tcPr>
            <w:tcW w:w="6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settlement accrual</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14,700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12,006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Sales returns reserve</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5,760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8"/>
                <w:szCs w:val="18"/>
                <w:color w:val="auto"/>
              </w:rPr>
              <w:t>Accrued wages and salaries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5,323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Payroll and sales taxes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5,406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189"/>
        </w:trPr>
        <w:tc>
          <w:tcPr>
            <w:tcW w:w="6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6,074</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49,269</w:t>
            </w: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17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September 30, 2020, the base interest rate was 4.25% and the LIBOR-based interest rate was 2.15%. Borrowings outstanding consisted of $7.0 million on the revolving line of credit as of September 30, 2020. In addition, the Company has standby letters of credit outstanding related to its workers’ compensation and medical insurance policies. Standby letters of credit totaled $1.9 million and $1.3 million as of September 30, 2020 and December 31, 2019, respectively. There was $91.1 million available for borrowing on the revolving line of credit as of September 30, 2020, which may be used to support the Company’s growth and for working capital purposes.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4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September 30,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75"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accordance with the FASB’s April 2020 Staff Q&amp;A regarding rent concessions related to the effects of the COVID-19 pandemic, the Company has elected to account for the concessions verbally agreed to by landlords that do not result in a substantial increase in the rights of the lessor or the obligations of the lessee as though enforceable rights and obligations for those concessions existed in the original lease agreements, and the Company has elected to not re-measure the related lease liabilities and right-of-use assets. For qualifying rent abatement concessions, the Company has recorded negative lease expense for the amount of the concession during the period of relief. During the three and nine months ended September 30, 2020, the Company recognized $0.1 million of negative lease expense related to rent abatement concessions. For qualifying deferrals of rental payments, the Company has recognized a non-interest bearing payable classified as a Current portion of lease liability in the Consolidated Balance Sheet in lieu of recognizing a decrease in cash for the lease payment that would have been made based on the original terms of the lease agreement. The deferred rent payment balance will be reduced in future periods as amounts due are repaid. The deferred rent balance outstanding as of September 30, 2020 was $3.3 million. The majority of the remaining repayments are expected to occur between the fourth quarter of 2020 and the third quarter of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1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5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Classification</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5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Arial" w:cs="Arial" w:eastAsia="Arial" w:hAnsi="Arial"/>
                <w:sz w:val="18"/>
                <w:szCs w:val="18"/>
                <w:color w:val="auto"/>
              </w:rPr>
              <w:t>Operating lease assets</w:t>
            </w:r>
          </w:p>
        </w:tc>
        <w:tc>
          <w:tcPr>
            <w:tcW w:w="5660" w:type="dxa"/>
            <w:vAlign w:val="bottom"/>
          </w:tcPr>
          <w:p>
            <w:pPr>
              <w:ind w:left="420"/>
              <w:spacing w:after="0" w:line="189" w:lineRule="exact"/>
              <w:rPr>
                <w:sz w:val="20"/>
                <w:szCs w:val="20"/>
                <w:color w:val="auto"/>
              </w:rPr>
            </w:pPr>
            <w:r>
              <w:rPr>
                <w:rFonts w:ascii="Arial" w:cs="Arial" w:eastAsia="Arial" w:hAnsi="Arial"/>
                <w:sz w:val="18"/>
                <w:szCs w:val="18"/>
                <w:color w:val="auto"/>
              </w:rPr>
              <w:t>Right of use asset</w:t>
            </w:r>
          </w:p>
        </w:tc>
        <w:tc>
          <w:tcPr>
            <w:tcW w:w="2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133,256</w:t>
            </w:r>
          </w:p>
        </w:tc>
        <w:tc>
          <w:tcPr>
            <w:tcW w:w="1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137,737</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Financing lease assets</w:t>
            </w:r>
          </w:p>
        </w:tc>
        <w:tc>
          <w:tcPr>
            <w:tcW w:w="566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Property, plant and equipment, net of accumulated depreciation</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Total leased assets</w:t>
            </w:r>
          </w:p>
        </w:tc>
        <w:tc>
          <w:tcPr>
            <w:tcW w:w="5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133,256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137,850</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spacing w:after="0"/>
              <w:rPr>
                <w:sz w:val="14"/>
                <w:szCs w:val="14"/>
                <w:color w:val="auto"/>
              </w:rPr>
            </w:pPr>
          </w:p>
        </w:tc>
        <w:tc>
          <w:tcPr>
            <w:tcW w:w="5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Arial" w:cs="Arial" w:eastAsia="Arial" w:hAnsi="Arial"/>
                <w:sz w:val="18"/>
                <w:szCs w:val="18"/>
                <w:color w:val="auto"/>
              </w:rPr>
              <w:t>Liabilities</w:t>
            </w: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5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20"/>
              <w:spacing w:after="0" w:line="189" w:lineRule="exact"/>
              <w:rPr>
                <w:sz w:val="20"/>
                <w:szCs w:val="20"/>
                <w:color w:val="auto"/>
              </w:rPr>
            </w:pPr>
            <w:r>
              <w:rPr>
                <w:rFonts w:ascii="Arial" w:cs="Arial" w:eastAsia="Arial" w:hAnsi="Arial"/>
                <w:sz w:val="18"/>
                <w:szCs w:val="18"/>
                <w:color w:val="auto"/>
              </w:rPr>
              <w:t>Operating</w:t>
            </w:r>
          </w:p>
        </w:tc>
        <w:tc>
          <w:tcPr>
            <w:tcW w:w="5660" w:type="dxa"/>
            <w:vAlign w:val="bottom"/>
          </w:tcPr>
          <w:p>
            <w:pPr>
              <w:ind w:left="420"/>
              <w:spacing w:after="0" w:line="189" w:lineRule="exact"/>
              <w:rPr>
                <w:sz w:val="20"/>
                <w:szCs w:val="20"/>
                <w:color w:val="auto"/>
              </w:rPr>
            </w:pPr>
            <w:r>
              <w:rPr>
                <w:rFonts w:ascii="Arial" w:cs="Arial" w:eastAsia="Arial" w:hAnsi="Arial"/>
                <w:sz w:val="18"/>
                <w:szCs w:val="18"/>
                <w:color w:val="auto"/>
              </w:rPr>
              <w:t>Current portion of lease liability</w:t>
            </w:r>
          </w:p>
        </w:tc>
        <w:tc>
          <w:tcPr>
            <w:tcW w:w="2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28,239</w:t>
            </w:r>
          </w:p>
        </w:tc>
        <w:tc>
          <w:tcPr>
            <w:tcW w:w="1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Financing</w:t>
            </w:r>
          </w:p>
        </w:tc>
        <w:tc>
          <w:tcPr>
            <w:tcW w:w="566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566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Long-term lease liability, net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124,678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131,451</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Financing</w:t>
            </w:r>
          </w:p>
        </w:tc>
        <w:tc>
          <w:tcPr>
            <w:tcW w:w="5660" w:type="dxa"/>
            <w:vAlign w:val="bottom"/>
            <w:tcBorders>
              <w:bottom w:val="single" w:sz="8" w:color="CCEEFF"/>
            </w:tcBorders>
          </w:tcPr>
          <w:p>
            <w:pPr>
              <w:ind w:left="420"/>
              <w:spacing w:after="0" w:line="189" w:lineRule="exact"/>
              <w:rPr>
                <w:sz w:val="20"/>
                <w:szCs w:val="20"/>
                <w:color w:val="auto"/>
              </w:rPr>
            </w:pPr>
            <w:r>
              <w:rPr>
                <w:rFonts w:ascii="Arial" w:cs="Arial" w:eastAsia="Arial" w:hAnsi="Arial"/>
                <w:sz w:val="18"/>
                <w:szCs w:val="18"/>
                <w:color w:val="auto"/>
              </w:rPr>
              <w:t>Financing lease obligation, net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liabilities</w:t>
            </w:r>
          </w:p>
        </w:tc>
        <w:tc>
          <w:tcPr>
            <w:tcW w:w="5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152,917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158,880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6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5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Classification</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566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8,285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189"/>
        </w:trPr>
        <w:tc>
          <w:tcPr>
            <w:tcW w:w="264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566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264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5660" w:type="dxa"/>
            <w:vAlign w:val="bottom"/>
          </w:tcPr>
          <w:p>
            <w:pPr>
              <w:ind w:left="420"/>
              <w:spacing w:after="0" w:line="189"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5660" w:type="dxa"/>
            <w:vAlign w:val="bottom"/>
            <w:tcBorders>
              <w:bottom w:val="single" w:sz="8" w:color="CCEEFF"/>
            </w:tcBorders>
          </w:tcPr>
          <w:p>
            <w:pPr>
              <w:ind w:left="420"/>
              <w:spacing w:after="0" w:line="189" w:lineRule="exact"/>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5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11,949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660" w:type="dxa"/>
            <w:vAlign w:val="bottom"/>
            <w:vMerge w:val="restart"/>
          </w:tcPr>
          <w:p>
            <w:pPr>
              <w:ind w:left="29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6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64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color w:val="auto"/>
              </w:rPr>
              <w:t>Nine Months Ended</w:t>
            </w:r>
          </w:p>
        </w:tc>
      </w:tr>
      <w:tr>
        <w:trPr>
          <w:trHeight w:val="189"/>
        </w:trPr>
        <w:tc>
          <w:tcPr>
            <w:tcW w:w="26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Arial" w:cs="Arial" w:eastAsia="Arial" w:hAnsi="Arial"/>
                <w:sz w:val="18"/>
                <w:szCs w:val="18"/>
                <w:color w:val="auto"/>
                <w:w w:val="89"/>
              </w:rPr>
              <w:t>September 30,</w:t>
            </w:r>
          </w:p>
        </w:tc>
      </w:tr>
      <w:tr>
        <w:trPr>
          <w:trHeight w:val="21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5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Classification</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183"/>
        </w:trPr>
        <w:tc>
          <w:tcPr>
            <w:tcW w:w="2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566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24,758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24,268</w:t>
            </w:r>
          </w:p>
        </w:tc>
      </w:tr>
      <w:tr>
        <w:trPr>
          <w:trHeight w:val="189"/>
        </w:trPr>
        <w:tc>
          <w:tcPr>
            <w:tcW w:w="264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2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566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r>
      <w:tr>
        <w:trPr>
          <w:trHeight w:val="189"/>
        </w:trPr>
        <w:tc>
          <w:tcPr>
            <w:tcW w:w="264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5660" w:type="dxa"/>
            <w:vAlign w:val="bottom"/>
          </w:tcPr>
          <w:p>
            <w:pPr>
              <w:ind w:left="420"/>
              <w:spacing w:after="0" w:line="189"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59</w:t>
            </w:r>
          </w:p>
        </w:tc>
      </w:tr>
      <w:tr>
        <w:trPr>
          <w:trHeight w:val="257"/>
        </w:trPr>
        <w:tc>
          <w:tcPr>
            <w:tcW w:w="2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r>
      <w:tr>
        <w:trPr>
          <w:trHeight w:val="189"/>
        </w:trPr>
        <w:tc>
          <w:tcPr>
            <w:tcW w:w="26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5660" w:type="dxa"/>
            <w:vAlign w:val="bottom"/>
            <w:tcBorders>
              <w:bottom w:val="single" w:sz="8" w:color="CCEEFF"/>
            </w:tcBorders>
          </w:tcPr>
          <w:p>
            <w:pPr>
              <w:ind w:left="420"/>
              <w:spacing w:after="0" w:line="189" w:lineRule="exact"/>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679</w:t>
            </w:r>
          </w:p>
        </w:tc>
      </w:tr>
      <w:tr>
        <w:trPr>
          <w:trHeight w:val="183"/>
        </w:trPr>
        <w:tc>
          <w:tcPr>
            <w:tcW w:w="26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5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35,768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35,220</w:t>
            </w:r>
          </w:p>
        </w:tc>
      </w:tr>
      <w:tr>
        <w:trPr>
          <w:trHeight w:val="20"/>
        </w:trPr>
        <w:tc>
          <w:tcPr>
            <w:tcW w:w="26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 Variable lease costs consist primarily of taxes, insurance, and common area or other maintenance costs for the Company’s leased facilities.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gridSpan w:val="4"/>
          </w:tcPr>
          <w:p>
            <w:pPr>
              <w:jc w:val="right"/>
              <w:ind w:right="1250"/>
              <w:spacing w:after="0"/>
              <w:rPr>
                <w:sz w:val="20"/>
                <w:szCs w:val="20"/>
                <w:color w:val="auto"/>
              </w:rPr>
            </w:pPr>
            <w:r>
              <w:rPr>
                <w:rFonts w:ascii="Arial" w:cs="Arial" w:eastAsia="Arial" w:hAnsi="Arial"/>
                <w:sz w:val="18"/>
                <w:szCs w:val="18"/>
                <w:color w:val="auto"/>
              </w:rPr>
              <w:t>Nine Months Ended</w:t>
            </w:r>
          </w:p>
        </w:tc>
      </w:tr>
      <w:tr>
        <w:trPr>
          <w:trHeight w:val="217"/>
        </w:trPr>
        <w:tc>
          <w:tcPr>
            <w:tcW w:w="7140" w:type="dxa"/>
            <w:vAlign w:val="bottom"/>
            <w:gridSpan w:val="2"/>
          </w:tcPr>
          <w:p>
            <w:pPr>
              <w:spacing w:after="0"/>
              <w:rPr>
                <w:sz w:val="20"/>
                <w:szCs w:val="20"/>
                <w:color w:val="auto"/>
              </w:rPr>
            </w:pPr>
            <w:r>
              <w:rPr>
                <w:rFonts w:ascii="Arial" w:cs="Arial" w:eastAsia="Arial" w:hAnsi="Arial"/>
                <w:sz w:val="18"/>
                <w:szCs w:val="18"/>
                <w:color w:val="auto"/>
              </w:rPr>
              <w:t>Other Information (in thousands)</w:t>
            </w:r>
          </w:p>
        </w:tc>
        <w:tc>
          <w:tcPr>
            <w:tcW w:w="24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September 30, 2020</w:t>
            </w:r>
          </w:p>
        </w:tc>
        <w:tc>
          <w:tcPr>
            <w:tcW w:w="22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w w:val="95"/>
              </w:rPr>
              <w:t>September 30, 2019</w:t>
            </w:r>
          </w:p>
        </w:tc>
      </w:tr>
      <w:tr>
        <w:trPr>
          <w:trHeight w:val="183"/>
        </w:trPr>
        <w:tc>
          <w:tcPr>
            <w:tcW w:w="69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r>
      <w:tr>
        <w:trPr>
          <w:trHeight w:val="189"/>
        </w:trPr>
        <w:tc>
          <w:tcPr>
            <w:tcW w:w="71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(26,808)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(26,109)</w:t>
            </w:r>
          </w:p>
        </w:tc>
      </w:tr>
      <w:tr>
        <w:trPr>
          <w:trHeight w:val="189"/>
        </w:trPr>
        <w:tc>
          <w:tcPr>
            <w:tcW w:w="71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financing leases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w:t>
            </w:r>
          </w:p>
        </w:tc>
      </w:tr>
      <w:tr>
        <w:trPr>
          <w:trHeight w:val="189"/>
        </w:trPr>
        <w:tc>
          <w:tcPr>
            <w:tcW w:w="71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Financing cash flows from financing leases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(162)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(153)</w:t>
            </w:r>
          </w:p>
        </w:tc>
      </w:tr>
      <w:tr>
        <w:trPr>
          <w:trHeight w:val="189"/>
        </w:trPr>
        <w:tc>
          <w:tcPr>
            <w:tcW w:w="71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Lease right-of-use assets obtained or modified in exchange for lease obligations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14,010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5,993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is, from time to time, party to lawsuits, threatened lawsuits, disputes and other claims arising in the normal course of business. The Company assesses its liabilities and contingencies in connection with outstanding legal proceedings utilizing the latest information available. Where it is probable that the Company will incur a loss and the amount of the loss can be reasonably estimated, the Company records a liability in its consolidated financial statements. These legal accruals may be increased or decreased to reflect any relevant developments on a quarterly basis. Where a loss is not probable or the amount of the loss is not estimable, the Company does not record an accrual, consistent with applicable accounting guidance. Based on information currently available to the Company, advice of counsel, and available insurance coverage, the Company believes that its established accruals are adequate and the liabilities arising from the legal proceedings will not have a material adverse effect on its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the Company’s results of operations for a particular period, depending upon the size of the loss or the Company’s income for that particular period.</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previously disclosed, the Company was a nominal defendant and certain current and former directors were individual defendants in litigation brought by K-Bar Holdings LLC and Wynnefield Capital, Inc. (“Plaintiffs”), in the Delaware Court of Chancery (the “Action”), in November 2019. Plaintiffs pleaded the Action as a derivative claim on behalf of the Company and also on behalf of a putative class of certain holders of the Company’s common stock as of October 18, 2019 (the “Putative Class”). Plaintiffs alleged breaches of fiduciary duty in connection with, among other things, the Company’s decision to delist from Nasdaq and deregister its common stock under the Securities Exchange Act of 1934, as amended. As previously disclosed, on June 30, 2020, the Company, the individual defendants, and Plaintiffs reached an agreement to settle all claims in the Action, which was documented in a Stipulation of Settlement dated August 7, 2020 (the “Stipulation of Settlement”). Among other terms, the Stipulation of Settlement provides for a settlement fund of $12.0 million, which was funded by the Company’s insurers, and which will be distributed to members of the Putative Class pursuant to an allocation and claims distribution process proposed by the Plaintiffs and approved by the Court. The Stipulation of Settlement was approved by the Court on October 12, 2020. The Court also granted the Plaintiffs’ counsel a $2.7 million award of attorney’s fees in connection with the settlement of the derivative claims. The Company’s insurers have agreed to cover the fee award to the Plaintiffs’ attorneys. The Company recorded a $14.7 million other current liability and a $14.7 million other current asset in the Consolidated Balance Sheet as of September 30, 2020 to reflect the Company’s obligation to the Putative Class, the attorney fee award and the corresponding receivable from the insurance companies.</w:t>
      </w:r>
    </w:p>
    <w:p>
      <w:pPr>
        <w:spacing w:after="0" w:line="14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identical or similar assets or liabilities in non-active markets;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September 30, 2020 and December 31, 2019 according to the valuation techniques the Company uses to determine their fair values. There have been no transfers of assets among the fair value hierarchies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Pricing</w:t>
            </w:r>
          </w:p>
        </w:tc>
        <w:tc>
          <w:tcPr>
            <w:tcW w:w="300" w:type="dxa"/>
            <w:vAlign w:val="bottom"/>
          </w:tcPr>
          <w:p>
            <w:pPr>
              <w:spacing w:after="0"/>
              <w:rPr>
                <w:sz w:val="20"/>
                <w:szCs w:val="20"/>
                <w:color w:val="auto"/>
              </w:rPr>
            </w:pPr>
          </w:p>
        </w:tc>
        <w:tc>
          <w:tcPr>
            <w:tcW w:w="330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Category</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September 30, 2020</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182"/>
        </w:trPr>
        <w:tc>
          <w:tcPr>
            <w:tcW w:w="64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Level 1</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8,961</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Restricted cash</w:t>
            </w:r>
          </w:p>
        </w:tc>
        <w:tc>
          <w:tcPr>
            <w:tcW w:w="1160" w:type="dxa"/>
            <w:vAlign w:val="bottom"/>
          </w:tcPr>
          <w:p>
            <w:pPr>
              <w:ind w:left="32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43" w:lineRule="exact"/>
        <w:rPr>
          <w:sz w:val="20"/>
          <w:szCs w:val="20"/>
          <w:color w:val="auto"/>
        </w:rPr>
      </w:pPr>
    </w:p>
    <w:p>
      <w:pPr>
        <w:ind w:left="980" w:right="100"/>
        <w:spacing w:after="0" w:line="23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nine months ended September 30, 2020, the Company recognized a $2.2 million charge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No impairment charges were recorded during the three or nine months ended September 30, 2019 or the three months ended September 30, 2020.</w:t>
      </w:r>
    </w:p>
    <w:p>
      <w:pPr>
        <w:spacing w:after="0" w:line="14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measures and recognizes compensation expense for all stock based awards at fair value. The financial statements for the three and nine months ended September 30, 2020 and 2019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$0.1 million and $0.2 million for the three months ended September 30, 2020 and 2019, respectively. Total stock based compensation expense related to stock options was $0.3 million and $0.7 million for the nine months ended September 30, 2020 and 2019, respectively. Stock based compensation expense pertaining to stock options is included in selling, general and administrative expenses in the accompanying Consolidated Statements of Operations.</w:t>
      </w:r>
    </w:p>
    <w:p>
      <w:pPr>
        <w:spacing w:after="0" w:line="14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September 30, 2020, the Company had outstanding stock options to purchase 1,144,997 shares of common stock at a weighted average exercise price of $11.08.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for both the three months ended September 30, 2020 and 2019. Total stock based compensation expense related to restricted stock was $1.3 million and $1.5 million for the nine months ended September 30, 2020 and 2019, respectively. Stock based compensation expense pertaining to restricted stock awards is included in selling, general and administrative expenses in the accompanying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had 1,667,672 outstanding restricted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48"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5"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September 30, 2020, the balance of the contribution liability was $1.5 million, of which $0.5 million was classified as other accrued liabilities on the Consolidated Balance Sheet and $1.0 million was classified as other long-term liabilities on the Consolidated Balance Sheet.</w:t>
      </w:r>
    </w:p>
    <w:p>
      <w:pPr>
        <w:spacing w:after="0" w:line="15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September 30, 2020, the balance in the Investment Fund available for reimbursement to the Company was $0.7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Markets Tax Credit</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were entitled to the tax benefits derived from the NMTC by virtue of their contribution while the Company received the proceeds, net of syndication fees, to apply toward the construction project. This transaction included a put/call provision whereby the Company may have been obligated or entitled to repurchase the investors’ interest. The value attributed to the put/call prior to the exercise of the put option was de minimis. The NMTC was subject to 100% recapture for a period of seven years as provided in the Internal Revenue Code. The Company was required to be in compliance with various regulations and contractual provisions that applied to the NMTC arrangement. Non-compliance with applicable requirements could have resulted in projected tax benefits not being realized and, therefore, could have required the Company to indemnify the investors for any loss or recapture of NMTCs related to the financing until such time as the obligation to deliver tax benefits was relieved. No credit recaptures were required in connection with this arrangement.</w:t>
      </w:r>
    </w:p>
    <w:p>
      <w:pPr>
        <w:spacing w:after="0" w:line="14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determined that this financing arrangement contained a VIE. The ongoing activities of the Tile Shop Investment Fund LLC –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underlying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recognized the benefit of this net $4.4 million contribution over the seven-year compliance period as it was earned through the on-going compliance with the conditions of the NMTC program.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July 2020, the investors exercised the put option to purchase the investors’ interest in the Investment Fund at the end of the tax credit recapture period.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did not have a significant impact on the Company’s financial position, results of operations, or cash flows.</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July 9, 2018, Fumitake Nishi, a former Company employee and the brother-in-law of Robert A. Rucker, our former Interim Chief Executive Officer and President, and former member of the Company’s Board of Directors, from which he resigned on February 12, 2020, informed the Company he had reacquired a majority of the equity of one of its key vendors, Nanyang Helin Stone Co. Ltd (“Nanyang”). Nanyang supplies the Company with natural stone products including hand-crafted mosaics, listellos and other accessories. During the twelve months ended December 31, 2019, the Company purchased $5.1 million of products from Nanyang. During the three and nine months ended September 30, 2020, the Company purchased $2.1 million and $5.0 million of products from Nanyang, respectively.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49"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Audit Committee have and will continue to review future purchases from Nanyang and compare the pricing for products purchased from Nanyang to the pricing of same or similar products purchased from unrelated vendors.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2019 and our consolidated financial statements and related notes appearing elsewhere in this Quarterly Report on Form 10-Q.</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relate to, among other things, our anticipated new store openings, remodeling plans, and growth opportunities; our business strengths, marketing strategies, competitive advantages and role in our industry and markets; our expectations regarding financing arrangements; our expectations regarding the potential impacts of COVID-19 on our business; our expectations with respect to ongoing compliance with the terms of our Credit Agreement (as defined below); and our expectations with respect to remediation of our identified material weaknesses.</w:t>
      </w:r>
    </w:p>
    <w:p>
      <w:pPr>
        <w:spacing w:after="0" w:line="15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many of which have been, and may further be, exacerbated by the COVID-19 pandemic, include, but are not limited to,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and on customer traffic to our stores, as well as the potential duration of the COVID-19 pandemic and the length and adequacy of measures we have taken to attempt to mitigate the impact of the COVID-19 pandemic on our business; our ability to successfully implement our strategic plan and the anticipated benefits of our strategic plan; the effectiveness of our marketing strategy; our expectations regarding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and the potential impact of the COVID-19 pandemic; our expectations with respect to ongoing compliance with the terms of the Credit Agreement, including the possibility that the impact of the COVID-19 pandemic on our business may result in our inability to maintain such compliance, as well as the potential impact of the phase out of LIBOR; the effect of regulations on us and our industry, and our suppliers’ compliance with such regulations; our expectations regarding the effects of employee recruiting, training, mentoring, and retention; the potential impact of cybersecurity breaches or disruptions to our management information systems; our ability to successfully implement our information technology initiatives, including our enterprise resource planning (“ERP”) system; our ability to remediate material weaknesses in our internal control over financial reporting; our proposed deregistration; costs and adequacy of insurance; and those factors set forth in the section captioned “Risk Factors” in our Annual Report on Form 10-K for the year ended December 31, 2019 and the additional Risk Factors set forth in Part II, Item 1A of this Quarterly Report on Form 10-Q.</w:t>
      </w:r>
    </w:p>
    <w:p>
      <w:pPr>
        <w:spacing w:after="0" w:line="159"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75"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September 30, 2020, we operated 142 stores in 31 states and the District of Columbia, with an average size of approximately 20,000 square feet.</w:t>
      </w:r>
    </w:p>
    <w:p>
      <w:pPr>
        <w:spacing w:after="0" w:line="138"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7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COVID-19 pandemic has impacted, and is likely to continue impacting, our operations. As previously announced, we took steps to reduce selling, general and administrative (“SG&amp;A”) expenses by eliminating a portion of our workforce, curtailing advertising spending, reducing the number of replenishment trucks sent from our distribution centers to our stores and limiting other SG&amp;A spending when possible. As traffic and sales started to recover toward the end of the second quarter of 2020, we took a cautious approach to investing in activities that would increase our SG&amp;A expenses. While many retailers elected to expand their store hours as state and local restrictions started to ease, we maintained a reduced hours schedule throughout the third quarter of 2020. The decision to limit the number of hours that our stores were open had an adverse impact on traffic and sales, which contributed to a 6.5% decrease in sales at comparable stores; however, the SG&amp;A savings realized contributed to a $3.5 million improvement in operating income during the third quarter of 2020 when compared to the third quarter of 2019.</w:t>
      </w:r>
    </w:p>
    <w:p>
      <w:pPr>
        <w:spacing w:after="0" w:line="150"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During the third quarter of 2020, we continued to follow a practice to close our stores, quarantine affected staff and complete a rigorous cleaning process before reopening the store when a health risk was identified. This process can take 2-3 days to complete and has had an adverse impact on our sales. We are committed to continuing this practice to help protect the health of our employees and customers.</w:t>
      </w:r>
    </w:p>
    <w:p>
      <w:pPr>
        <w:spacing w:after="0" w:line="148"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We experienced an elevated level of product outages during the third quarter due to vendor production delays. In many instances, vendor plants were forced to close or operate at a reduced capacity pursuant to a government mandate following the onset of COVID-19. While most vendors have been able to resume normal operations, many continue to work through large backlogs. We are actively partnering with our vendors to secure delivery of backordered product.</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While we are cautiously optimistic with the current business trend, the recent escalation of COVID-19 cases across many of the markets that we serve could have a negative impact on us. Specifically, we could be adversely impacted by limitations on our employees to perform their work due to illness caused by the pandemic or local, state, or federal orders requiring our stores to close or employees to remain at home; limitation of carriers to deliver our products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 In addition, even after the COVID-19 pandemic has subsided, we may continue to experience adverse impacts to our business as a result of the economic impact of the pandemic, including the current recession and any recession that may occur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2020 Quarter Financial Overview</w:t>
      </w:r>
    </w:p>
    <w:p>
      <w:pPr>
        <w:spacing w:after="0" w:line="175"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For the three months ended September 30, 2020 and 2019, we reported net sales of $81.5 million and $85.9 million, respectively. The decrease in sales for the three months ended September 30, 2020 was due to a decrease in traffic that was partially attributable to a reduction in store hours during the third quarter of 2020 when compared to the third quarter of 2019. Additionally, elevated levels of in-stock outages also contributed to the lower level of sales during the third quarter of 2020.</w:t>
      </w:r>
    </w:p>
    <w:p>
      <w:pPr>
        <w:spacing w:after="0" w:line="148"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For the nine months ended September 30, 2020 and 2019, we reported net sales of $243.5 million and $261.8 million, respectively. The decrease in sales for the nine months ended September 30, 2020 compared to the three months ended September 30, 2019 was primarily due to a decrease in traffic following the onset of COVID-19 and our response to the pandemic which included the reduction of store hours.</w:t>
      </w:r>
    </w:p>
    <w:p>
      <w:pPr>
        <w:spacing w:after="0" w:line="32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table below sets forth information about our comparable store sales growth (decline) for the three and nine months ended September 30, 2020 and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64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For the three months ended</w:t>
            </w:r>
          </w:p>
        </w:tc>
        <w:tc>
          <w:tcPr>
            <w:tcW w:w="2280" w:type="dxa"/>
            <w:vAlign w:val="bottom"/>
            <w:gridSpan w:val="3"/>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17"/>
        </w:trPr>
        <w:tc>
          <w:tcPr>
            <w:tcW w:w="6320" w:type="dxa"/>
            <w:vAlign w:val="bottom"/>
          </w:tcPr>
          <w:p>
            <w:pPr>
              <w:spacing w:after="0"/>
              <w:rPr>
                <w:sz w:val="18"/>
                <w:szCs w:val="18"/>
                <w:color w:val="auto"/>
              </w:rPr>
            </w:pPr>
          </w:p>
        </w:tc>
        <w:tc>
          <w:tcPr>
            <w:tcW w:w="18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8"/>
              </w:rPr>
              <w:t>September 30,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w:t>
            </w:r>
          </w:p>
        </w:tc>
      </w:tr>
      <w:tr>
        <w:trPr>
          <w:trHeight w:val="183"/>
        </w:trPr>
        <w:tc>
          <w:tcPr>
            <w:tcW w:w="63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6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decline</w:t>
            </w:r>
          </w:p>
        </w:tc>
        <w:tc>
          <w:tcPr>
            <w:tcW w:w="144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(4.0)%</w:t>
            </w:r>
          </w:p>
        </w:tc>
      </w:tr>
    </w:tbl>
    <w:p>
      <w:pPr>
        <w:spacing w:after="0" w:line="161" w:lineRule="exact"/>
        <w:rPr>
          <w:sz w:val="20"/>
          <w:szCs w:val="20"/>
          <w:color w:val="auto"/>
        </w:rPr>
      </w:pPr>
    </w:p>
    <w:p>
      <w:pPr>
        <w:jc w:val="both"/>
        <w:ind w:right="100"/>
        <w:spacing w:after="0" w:line="225" w:lineRule="auto"/>
        <w:rPr>
          <w:sz w:val="20"/>
          <w:szCs w:val="20"/>
          <w:color w:val="auto"/>
        </w:rPr>
      </w:pPr>
      <w:r>
        <w:rPr>
          <w:rFonts w:ascii="Arial" w:cs="Arial" w:eastAsia="Arial" w:hAnsi="Arial"/>
          <w:sz w:val="18"/>
          <w:szCs w:val="18"/>
          <w:color w:val="auto"/>
        </w:rPr>
        <w:t>For the three months ended September 30, 2020 and 2019, we reported gross profit of $55.3 million and $59.2 million, respectively. The gross margin rate was 67.9% and 68.8% for the three months ended September 30, 2020 and 2019, respectively. The decrease in gross margin rate was primarily driven by a higher mix of freight delivery services rendered to our customers during the three months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75"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ended September 30, 2020 compared to the three months ended September 30, 2019. An increase in inventory write-downs incurred in connection with routine product transitions also contributed to the lower level of gross margin during the three months ended September 30, 2020.</w:t>
      </w:r>
    </w:p>
    <w:p>
      <w:pPr>
        <w:spacing w:after="0" w:line="9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For the three months ended September 30, 2020 and 2019, we reported income from operations of $2.9 million and a loss from operations of $0.6 million, respectively. The increase in income from operations was primarily driven by a $7.4 million reduction in SG&amp;A expenses for the three months ended September 30, 2020 compared to the three months ended September 30, 2019. The decrease in SG&amp;A expenses was partially attributable to our decision to decrease our hours of operations following the onset of COVID-19. Lower staffing costs resulting from this decision resulted in a $3.1 million reduction in compensation and benefits expenses during the three months ended September 30, 2020 when compared to the three months ended September 30, 2019. Additionally, decreases in advertising expenses totaling $1.8 million and a $1.1 million reduction in consulting, audit, legal and IT fees contributed to the lower level of SG&amp;A expenses during the three months ended September 30, 2020.</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Net cash provided by operating activities was $57.3 million and $33.6 million for the nine months ended September 30, 2020 and 2019, respectively. The operating cash flows generated during the nine months ended September 30, 2020 were used primarily to sustain operations and reduce the Company’s debt balance by $56.0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comparable store sales operating metric is the percentage change in sales of comparable stores period-over-period. A store is considered comparable on the first day of the 13th full month of operation. When a store is relocated, it is excluded from the comparable store sales calculation. Comparable store sales includes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operating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ind w:right="178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43"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SG&amp;A expenses consist primarily of compensation costs, occupancy, utilities, maintenance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costs, shipping and transportation expenses to move inventory from our distribution centers to our stores, and depreciation and amortization.</w:t>
      </w:r>
    </w:p>
    <w:p>
      <w:pPr>
        <w:spacing w:after="0" w:line="96" w:lineRule="exact"/>
        <w:rPr>
          <w:sz w:val="20"/>
          <w:szCs w:val="20"/>
          <w:color w:val="auto"/>
        </w:rPr>
      </w:pPr>
    </w:p>
    <w:p>
      <w:pPr>
        <w:ind w:right="1040"/>
        <w:spacing w:after="0" w:line="307" w:lineRule="auto"/>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 Our pre-opening costs are those typically associated with the opening of a new store and generally include rent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costs and promotional costs. We expense pre-opening costs as incurred and include these costs in SG&amp;A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1560"/>
        <w:spacing w:after="0"/>
        <w:rPr>
          <w:sz w:val="20"/>
          <w:szCs w:val="20"/>
          <w:color w:val="auto"/>
        </w:rPr>
      </w:pPr>
      <w:r>
        <w:rPr>
          <w:rFonts w:ascii="Arial" w:cs="Arial" w:eastAsia="Arial" w:hAnsi="Arial"/>
          <w:sz w:val="18"/>
          <w:szCs w:val="18"/>
          <w:b w:val="1"/>
          <w:bCs w:val="1"/>
          <w:u w:val="single" w:color="auto"/>
          <w:color w:val="auto"/>
        </w:rPr>
        <w:t>Comparison of the three months ended September 30, 2020 to the three months ended September 30,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4"/>
        </w:trPr>
        <w:tc>
          <w:tcPr>
            <w:tcW w:w="5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22"/>
                <w:szCs w:val="22"/>
                <w:color w:val="auto"/>
              </w:rPr>
            </w:pPr>
          </w:p>
        </w:tc>
        <w:tc>
          <w:tcPr>
            <w:tcW w:w="1280" w:type="dxa"/>
            <w:vAlign w:val="bottom"/>
            <w:gridSpan w:val="2"/>
          </w:tcPr>
          <w:p>
            <w:pPr>
              <w:jc w:val="right"/>
              <w:ind w:right="9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81,492</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85,944</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26,188</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32.1</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26,775</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31.2</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55,304</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67.9</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59,169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68.8</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52,403</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64.3</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59,804</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69.6</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2,901</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(0.7)%</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(239)</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(0.3)%</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(1,027)</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(1.2)%</w:t>
            </w: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0.0 %</w:t>
            </w:r>
          </w:p>
        </w:tc>
      </w:tr>
      <w:tr>
        <w:trPr>
          <w:trHeight w:val="183"/>
        </w:trPr>
        <w:tc>
          <w:tcPr>
            <w:tcW w:w="538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2,662</w:t>
            </w:r>
          </w:p>
        </w:tc>
        <w:tc>
          <w:tcPr>
            <w:tcW w:w="16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3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(1,657)</w:t>
            </w:r>
          </w:p>
        </w:tc>
        <w:tc>
          <w:tcPr>
            <w:tcW w:w="160" w:type="dxa"/>
            <w:vAlign w:val="bottom"/>
          </w:tcPr>
          <w:p>
            <w:pPr>
              <w:spacing w:after="0"/>
              <w:rPr>
                <w:sz w:val="15"/>
                <w:szCs w:val="15"/>
                <w:color w:val="auto"/>
              </w:rPr>
            </w:pPr>
          </w:p>
        </w:tc>
        <w:tc>
          <w:tcPr>
            <w:tcW w:w="12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(1.9)%</w:t>
            </w: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(748)</w:t>
            </w:r>
          </w:p>
        </w:tc>
        <w:tc>
          <w:tcPr>
            <w:tcW w:w="132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1,914</w:t>
            </w:r>
          </w:p>
        </w:tc>
        <w:tc>
          <w:tcPr>
            <w:tcW w:w="1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w:t>
            </w:r>
          </w:p>
        </w:tc>
        <w:tc>
          <w:tcPr>
            <w:tcW w:w="34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(1,383)</w:t>
            </w:r>
          </w:p>
        </w:tc>
        <w:tc>
          <w:tcPr>
            <w:tcW w:w="160" w:type="dxa"/>
            <w:vAlign w:val="bottom"/>
          </w:tcPr>
          <w:p>
            <w:pPr>
              <w:spacing w:after="0"/>
              <w:rPr>
                <w:sz w:val="15"/>
                <w:szCs w:val="15"/>
                <w:color w:val="auto"/>
              </w:rPr>
            </w:pPr>
          </w:p>
        </w:tc>
        <w:tc>
          <w:tcPr>
            <w:tcW w:w="1280" w:type="dxa"/>
            <w:vAlign w:val="bottom"/>
            <w:tcBorders>
              <w:top w:val="single" w:sz="8" w:color="auto"/>
              <w:bottom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color w:val="auto"/>
              </w:rPr>
              <w:t>(1.6)%</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ind w:left="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may not foot due to rounding.</w:t>
      </w:r>
    </w:p>
    <w:p>
      <w:pPr>
        <w:spacing w:after="0" w:line="8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third quarter of 2020 decreased $4.5 million, or 5.2%, compared with the third quarter of 2019, primarily due to a $5.5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net sales generated by comparable stores. The decrease in sales at comparable stores for the three months ended September 30, 2020 was primarily due to a decrease in traffic that was partially attributable to a reduction in store hours during the third quarter of 2020 when compared to the third quarter of 2019. Additionally, elevated levels of in-stock outages also contributed to the lower level of sales during the third quarter of 2020. Sales generated by stores not included in the comparable store base increased $1.0 million during the three months ended September 30, 2020 compared to the three months ended September 30, 2019.</w:t>
      </w:r>
    </w:p>
    <w:p>
      <w:pPr>
        <w:spacing w:after="0" w:line="14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third quarter of 2020 decreased $3.9 million, or 6.5%, compared with the third quarter of 2019 primarily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in net sales. The gross margin rate was 67.9% and 68.8% for the three months ended September 30, 2020 and 2019, respectively. The decrease in gross margin rate was primarily driven by a higher mix of freight delivery services rendered to our customers during the three months ended September 30, 2020 compared to the three months ended September 30, 2019. An increase in inventory write-downs incurred in connection with routine product transitions also contributed to the lower level of gross margin during the three months ended September 30, 2020.</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for the third quarter of 2020 decreased $7.4 million, or 12.4%, compared with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2019. The decrease in SG&amp;A expenses was partially attributable to our decision to decrease our hours of operations following the onset of COVID-19. Lower staffing costs resulting from this decision resulted in a $3.1 million reduction in compensation and benefits expenses during the three months ended September 30, 2020 when compared to the three months ended September 30, 2019. Additionally, decreases in advertising expenses totaling $1.8 million and a $1.1 million reduction in consulting, audit, legal and IT fees contributed to the lower level of SG&amp;A expenses during the three months ended September 30, 2020. Legal expenses incurred in connection with shareholder litigation during the three months ended September 30, 2020 totaled $0.6 million.</w:t>
      </w:r>
    </w:p>
    <w:p>
      <w:pPr>
        <w:spacing w:after="0" w:line="15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$0.2 million and $1.0 million for the third quarter of 2020 and 2019, respectively. The decrease was due to a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debt balance and lower interest rates during the third quarter of 2020.</w:t>
      </w:r>
    </w:p>
    <w:p>
      <w:pPr>
        <w:spacing w:after="0" w:line="143"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$1.0 million for the third quarter of 2020 compared with the third quarter of 2019.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the tax provision was primarily due to the increase in pretax income. Our effective tax rate for the three months ended September 30, 2020 and 2019 was 28.1% and 16.5%,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27"/>
        </w:trPr>
        <w:tc>
          <w:tcPr>
            <w:tcW w:w="1600" w:type="dxa"/>
            <w:vAlign w:val="bottom"/>
          </w:tcPr>
          <w:p>
            <w:pPr>
              <w:spacing w:after="0"/>
              <w:rPr>
                <w:sz w:val="24"/>
                <w:szCs w:val="24"/>
                <w:color w:val="auto"/>
              </w:rPr>
            </w:pPr>
          </w:p>
        </w:tc>
        <w:tc>
          <w:tcPr>
            <w:tcW w:w="8360" w:type="dxa"/>
            <w:vAlign w:val="bottom"/>
            <w:gridSpan w:val="11"/>
          </w:tcPr>
          <w:p>
            <w:pPr>
              <w:spacing w:after="0"/>
              <w:rPr>
                <w:sz w:val="20"/>
                <w:szCs w:val="20"/>
                <w:color w:val="auto"/>
              </w:rPr>
            </w:pPr>
            <w:r>
              <w:rPr>
                <w:rFonts w:ascii="Arial" w:cs="Arial" w:eastAsia="Arial" w:hAnsi="Arial"/>
                <w:sz w:val="18"/>
                <w:szCs w:val="18"/>
                <w:b w:val="1"/>
                <w:bCs w:val="1"/>
                <w:color w:val="auto"/>
                <w:w w:val="92"/>
              </w:rPr>
              <w:t>Comparison of the nine months ended September 30, 2020 to the nine months ended September 30, 2019</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5"/>
        </w:trPr>
        <w:tc>
          <w:tcPr>
            <w:tcW w:w="1600" w:type="dxa"/>
            <w:vAlign w:val="bottom"/>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4"/>
        </w:trPr>
        <w:tc>
          <w:tcPr>
            <w:tcW w:w="16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9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53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243,501</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261,755</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r>
      <w:tr>
        <w:trPr>
          <w:trHeight w:val="189"/>
        </w:trPr>
        <w:tc>
          <w:tcPr>
            <w:tcW w:w="53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77,828</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32.0</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79,384</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30.3</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165,673</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68.0</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182,371</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69.7</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161,972</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66.5</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179,314</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68.5</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3,701</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3,057</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(1,646)</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(2,948)</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(1.1)%</w:t>
            </w:r>
          </w:p>
        </w:tc>
      </w:tr>
      <w:tr>
        <w:trPr>
          <w:trHeight w:val="189"/>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0.0 %</w:t>
            </w:r>
          </w:p>
        </w:tc>
      </w:tr>
      <w:tr>
        <w:trPr>
          <w:trHeight w:val="183"/>
        </w:trPr>
        <w:tc>
          <w:tcPr>
            <w:tcW w:w="5380" w:type="dxa"/>
            <w:vAlign w:val="bottom"/>
            <w:gridSpan w:val="2"/>
          </w:tcPr>
          <w:p>
            <w:pPr>
              <w:spacing w:after="0" w:line="182" w:lineRule="exact"/>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2,055</w:t>
            </w:r>
          </w:p>
        </w:tc>
        <w:tc>
          <w:tcPr>
            <w:tcW w:w="16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0.8</w:t>
            </w:r>
          </w:p>
        </w:tc>
        <w:tc>
          <w:tcPr>
            <w:tcW w:w="3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131</w:t>
            </w:r>
          </w:p>
        </w:tc>
        <w:tc>
          <w:tcPr>
            <w:tcW w:w="1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0.1</w:t>
            </w:r>
          </w:p>
        </w:tc>
        <w:tc>
          <w:tcPr>
            <w:tcW w:w="3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2,601</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(348)</w:t>
            </w:r>
          </w:p>
        </w:tc>
        <w:tc>
          <w:tcPr>
            <w:tcW w:w="128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(0.1)%</w:t>
            </w:r>
          </w:p>
        </w:tc>
      </w:tr>
      <w:tr>
        <w:trPr>
          <w:trHeight w:val="183"/>
        </w:trPr>
        <w:tc>
          <w:tcPr>
            <w:tcW w:w="5380" w:type="dxa"/>
            <w:vAlign w:val="bottom"/>
            <w:gridSpan w:val="2"/>
          </w:tcPr>
          <w:p>
            <w:pPr>
              <w:spacing w:after="0" w:line="182" w:lineRule="exact"/>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4,656</w:t>
            </w:r>
          </w:p>
        </w:tc>
        <w:tc>
          <w:tcPr>
            <w:tcW w:w="1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w:t>
            </w:r>
          </w:p>
        </w:tc>
        <w:tc>
          <w:tcPr>
            <w:tcW w:w="34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(217)</w:t>
            </w:r>
          </w:p>
        </w:tc>
        <w:tc>
          <w:tcPr>
            <w:tcW w:w="160" w:type="dxa"/>
            <w:vAlign w:val="bottom"/>
          </w:tcPr>
          <w:p>
            <w:pPr>
              <w:spacing w:after="0"/>
              <w:rPr>
                <w:sz w:val="15"/>
                <w:szCs w:val="15"/>
                <w:color w:val="auto"/>
              </w:rPr>
            </w:pPr>
          </w:p>
        </w:tc>
        <w:tc>
          <w:tcPr>
            <w:tcW w:w="1280" w:type="dxa"/>
            <w:vAlign w:val="bottom"/>
            <w:tcBorders>
              <w:top w:val="single" w:sz="8" w:color="auto"/>
              <w:bottom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color w:val="auto"/>
              </w:rPr>
              <w:t>(0.1)%</w:t>
            </w:r>
          </w:p>
        </w:tc>
      </w:tr>
      <w:tr>
        <w:trPr>
          <w:trHeight w:val="20"/>
        </w:trPr>
        <w:tc>
          <w:tcPr>
            <w:tcW w:w="1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may not foot due to rounding.</w:t>
      </w:r>
    </w:p>
    <w:p>
      <w:pPr>
        <w:spacing w:after="0" w:line="8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nine months ended September 30, 2020 decreased $18.3 million, or 7.0%, compared with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primarily due to a $21.5 million decrease in net sales generated by comparable stores. The decrease in sales at comparable stores for the nine months ended September 30, 2020 was primarily due to a decrease in traffic following the onset of COVID-19 and our response to the pandemic, which included the reduction of store hours. Net sales generated by stores not included in the comparable store base increased $3.2 million.</w:t>
      </w:r>
    </w:p>
    <w:p>
      <w:pPr>
        <w:spacing w:after="0" w:line="129"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nine months ended September 30, 2020 decreased $16.7 million, or 9.2%, compared with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2019. The gross margin rate was 68.0% and 69.7% for the nine months ended September 30, 2020 and 2019, respectively. The decrease in gross margin rate was primarily driven by an increase in cost of products sold and a higher mix of delivery services rendered during 2020.</w:t>
      </w:r>
    </w:p>
    <w:p>
      <w:pPr>
        <w:spacing w:after="0" w:line="1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SG&amp;A expenses for the nine months ended September 30, 2020 decreased $17.3 million, or 9.7%,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the nine months ended September 30, 2019. The decrease in SG&amp;A expenses was primarily due to a $12.8 million reduction in compensation and benefits costs due to lower variable compensation expenses, headcount reductions and a decrease in store hours following the onset of COVID-19. Additionally, decreases in advertising expenses totaling $4.2 million and a reduction in replenishment trucks sent from our distribution centers to our stores resulting in a $0.9 million reduction in transportation costs contributed to the lower level of SG&amp;A expenses during the nine months ended September 30, 2020. The SG&amp;A expense reductions were partially offset by a $2.2 million asset impairment charge taken during the first quarter of 2020. Legal expenses incurred in connection with shareholder litigation during the nine months ended September 30, 2020 totaled $2.0 million.</w:t>
      </w:r>
    </w:p>
    <w:p>
      <w:pPr>
        <w:spacing w:after="0" w:line="13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$1.6 million and $2.9 million for the nine months ended September 30, 2020 and 2019, respectively.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a lower average debt balance during the nine months ended September 30, 2020.</w:t>
      </w:r>
    </w:p>
    <w:p>
      <w:pPr>
        <w:spacing w:after="0" w:line="14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decreased $2.9 million for the nine months ended September 30, 2020 compared with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2019. Our effective tax rate for the nine months ended September 30, 2020 and 2019 was (126.6)% and 265.7%, respectively. The tax benefit recognized during the nine months ended September 30, 2020 and the change in the effective tax rate was primarily due the enactment of the CARES Act, which gives the Company the ability to carry back federal net operating losses to years with a federal statutory tax rate of 35%.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income (loss)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deferred rent,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75"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nine months ended September 30, 2020 and 2019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80" w:type="dxa"/>
            <w:vAlign w:val="bottom"/>
            <w:gridSpan w:val="9"/>
          </w:tcPr>
          <w:p>
            <w:pPr>
              <w:jc w:val="center"/>
              <w:ind w:right="480"/>
              <w:spacing w:after="0" w:line="189" w:lineRule="exact"/>
              <w:rPr>
                <w:sz w:val="20"/>
                <w:szCs w:val="20"/>
                <w:color w:val="auto"/>
              </w:rPr>
            </w:pPr>
            <w:r>
              <w:rPr>
                <w:rFonts w:ascii="Arial" w:cs="Arial" w:eastAsia="Arial" w:hAnsi="Arial"/>
                <w:sz w:val="18"/>
                <w:szCs w:val="18"/>
                <w:color w:val="auto"/>
                <w:w w:val="90"/>
              </w:rPr>
              <w:t>Three Months Ended</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ind w:left="174"/>
              <w:spacing w:after="0"/>
              <w:rPr>
                <w:sz w:val="20"/>
                <w:szCs w:val="20"/>
                <w:color w:val="auto"/>
              </w:rPr>
            </w:pPr>
            <w:r>
              <w:rPr>
                <w:rFonts w:ascii="Arial" w:cs="Arial" w:eastAsia="Arial" w:hAnsi="Arial"/>
                <w:sz w:val="18"/>
                <w:szCs w:val="18"/>
                <w:color w:val="auto"/>
                <w:w w:val="88"/>
              </w:rPr>
              <w:t>September 30,</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040" w:type="dxa"/>
            <w:vAlign w:val="bottom"/>
            <w:gridSpan w:val="3"/>
          </w:tcPr>
          <w:p>
            <w:pPr>
              <w:jc w:val="right"/>
              <w:spacing w:after="0" w:line="250" w:lineRule="exact"/>
              <w:rPr>
                <w:sz w:val="20"/>
                <w:szCs w:val="20"/>
                <w:color w:val="auto"/>
              </w:rPr>
            </w:pPr>
            <w:r>
              <w:rPr>
                <w:rFonts w:ascii="Arial" w:cs="Arial" w:eastAsia="Arial" w:hAnsi="Arial"/>
                <w:sz w:val="17"/>
                <w:szCs w:val="17"/>
                <w:color w:val="auto"/>
                <w:w w:val="98"/>
              </w:rPr>
              <w:t>% of sales</w:t>
            </w:r>
            <w:r>
              <w:rPr>
                <w:rFonts w:ascii="Arial" w:cs="Arial" w:eastAsia="Arial" w:hAnsi="Arial"/>
                <w:sz w:val="28"/>
                <w:szCs w:val="28"/>
                <w:color w:val="auto"/>
                <w:w w:val="98"/>
                <w:vertAlign w:val="superscript"/>
              </w:rPr>
              <w:t>(1)</w:t>
            </w:r>
          </w:p>
        </w:tc>
        <w:tc>
          <w:tcPr>
            <w:tcW w:w="1340" w:type="dxa"/>
            <w:vAlign w:val="bottom"/>
            <w:gridSpan w:val="6"/>
          </w:tcPr>
          <w:p>
            <w:pPr>
              <w:jc w:val="right"/>
              <w:ind w:right="287"/>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100" w:type="dxa"/>
            <w:vAlign w:val="bottom"/>
            <w:gridSpan w:val="2"/>
          </w:tcPr>
          <w:p>
            <w:pPr>
              <w:jc w:val="right"/>
              <w:ind w:right="80"/>
              <w:spacing w:after="0" w:line="250" w:lineRule="exact"/>
              <w:rPr>
                <w:sz w:val="20"/>
                <w:szCs w:val="20"/>
                <w:color w:val="auto"/>
              </w:rPr>
            </w:pPr>
            <w:r>
              <w:rPr>
                <w:rFonts w:ascii="Arial" w:cs="Arial" w:eastAsia="Arial" w:hAnsi="Arial"/>
                <w:sz w:val="17"/>
                <w:szCs w:val="17"/>
                <w:color w:val="auto"/>
                <w:w w:val="98"/>
              </w:rPr>
              <w:t>% of sales</w:t>
            </w:r>
            <w:r>
              <w:rPr>
                <w:rFonts w:ascii="Arial" w:cs="Arial" w:eastAsia="Arial" w:hAnsi="Arial"/>
                <w:sz w:val="28"/>
                <w:szCs w:val="28"/>
                <w:color w:val="auto"/>
                <w:w w:val="98"/>
                <w:vertAlign w:val="superscript"/>
              </w:rPr>
              <w:t>(1)</w:t>
            </w:r>
          </w:p>
        </w:tc>
        <w:tc>
          <w:tcPr>
            <w:tcW w:w="0" w:type="dxa"/>
            <w:vAlign w:val="bottom"/>
          </w:tcPr>
          <w:p>
            <w:pPr>
              <w:spacing w:after="0"/>
              <w:rPr>
                <w:sz w:val="1"/>
                <w:szCs w:val="1"/>
                <w:color w:val="auto"/>
              </w:rPr>
            </w:pPr>
          </w:p>
        </w:tc>
      </w:tr>
      <w:tr>
        <w:trPr>
          <w:trHeight w:val="183"/>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1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1,914</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2.3</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(1,383)</w:t>
            </w:r>
          </w:p>
        </w:tc>
        <w:tc>
          <w:tcPr>
            <w:tcW w:w="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239</w:t>
            </w:r>
          </w:p>
        </w:tc>
        <w:tc>
          <w:tcPr>
            <w:tcW w:w="16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0.3</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1,027</w:t>
            </w:r>
          </w:p>
        </w:tc>
        <w:tc>
          <w:tcPr>
            <w:tcW w:w="160" w:type="dxa"/>
            <w:vAlign w:val="bottom"/>
          </w:tcPr>
          <w:p>
            <w:pPr>
              <w:spacing w:after="0"/>
              <w:rPr>
                <w:sz w:val="16"/>
                <w:szCs w:val="16"/>
                <w:color w:val="auto"/>
              </w:rPr>
            </w:pPr>
          </w:p>
        </w:tc>
        <w:tc>
          <w:tcPr>
            <w:tcW w:w="11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taxes</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(274)</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7,656</w:t>
            </w:r>
          </w:p>
        </w:tc>
        <w:tc>
          <w:tcPr>
            <w:tcW w:w="16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9.4</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8,308</w:t>
            </w:r>
          </w:p>
        </w:tc>
        <w:tc>
          <w:tcPr>
            <w:tcW w:w="160" w:type="dxa"/>
            <w:vAlign w:val="bottom"/>
          </w:tcPr>
          <w:p>
            <w:pPr>
              <w:spacing w:after="0"/>
              <w:rPr>
                <w:sz w:val="16"/>
                <w:szCs w:val="16"/>
                <w:color w:val="auto"/>
              </w:rPr>
            </w:pPr>
          </w:p>
        </w:tc>
        <w:tc>
          <w:tcPr>
            <w:tcW w:w="11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6"/>
                <w:szCs w:val="16"/>
                <w:color w:val="auto"/>
              </w:rPr>
            </w:pPr>
          </w:p>
        </w:tc>
        <w:tc>
          <w:tcPr>
            <w:tcW w:w="1040" w:type="dxa"/>
            <w:vAlign w:val="bottom"/>
            <w:tcBorders>
              <w:bottom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0.7 %</w:t>
            </w: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183"/>
        </w:trPr>
        <w:tc>
          <w:tcPr>
            <w:tcW w:w="516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32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11,124</w:t>
            </w:r>
          </w:p>
        </w:tc>
        <w:tc>
          <w:tcPr>
            <w:tcW w:w="160" w:type="dxa"/>
            <w:vAlign w:val="bottom"/>
          </w:tcPr>
          <w:p>
            <w:pPr>
              <w:spacing w:after="0"/>
              <w:rPr>
                <w:sz w:val="15"/>
                <w:szCs w:val="15"/>
                <w:color w:val="auto"/>
              </w:rPr>
            </w:pPr>
          </w:p>
        </w:tc>
        <w:tc>
          <w:tcPr>
            <w:tcW w:w="104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13.7 %</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8,338</w:t>
            </w:r>
          </w:p>
        </w:tc>
        <w:tc>
          <w:tcPr>
            <w:tcW w:w="16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140"/>
              <w:spacing w:after="0" w:line="18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80" w:type="dxa"/>
            <w:vAlign w:val="bottom"/>
            <w:gridSpan w:val="9"/>
          </w:tcPr>
          <w:p>
            <w:pPr>
              <w:jc w:val="center"/>
              <w:ind w:right="480"/>
              <w:spacing w:after="0" w:line="189" w:lineRule="exact"/>
              <w:rPr>
                <w:sz w:val="20"/>
                <w:szCs w:val="20"/>
                <w:color w:val="auto"/>
              </w:rPr>
            </w:pPr>
            <w:r>
              <w:rPr>
                <w:rFonts w:ascii="Arial" w:cs="Arial" w:eastAsia="Arial" w:hAnsi="Arial"/>
                <w:sz w:val="18"/>
                <w:szCs w:val="18"/>
                <w:color w:val="auto"/>
                <w:w w:val="91"/>
              </w:rPr>
              <w:t>Nine Months Ended</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ind w:left="174"/>
              <w:spacing w:after="0"/>
              <w:rPr>
                <w:sz w:val="20"/>
                <w:szCs w:val="20"/>
                <w:color w:val="auto"/>
              </w:rPr>
            </w:pPr>
            <w:r>
              <w:rPr>
                <w:rFonts w:ascii="Arial" w:cs="Arial" w:eastAsia="Arial" w:hAnsi="Arial"/>
                <w:sz w:val="18"/>
                <w:szCs w:val="18"/>
                <w:color w:val="auto"/>
                <w:w w:val="88"/>
              </w:rPr>
              <w:t>September 30,</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040" w:type="dxa"/>
            <w:vAlign w:val="bottom"/>
            <w:gridSpan w:val="3"/>
          </w:tcPr>
          <w:p>
            <w:pPr>
              <w:jc w:val="right"/>
              <w:spacing w:after="0" w:line="250" w:lineRule="exact"/>
              <w:rPr>
                <w:sz w:val="20"/>
                <w:szCs w:val="20"/>
                <w:color w:val="auto"/>
              </w:rPr>
            </w:pPr>
            <w:r>
              <w:rPr>
                <w:rFonts w:ascii="Arial" w:cs="Arial" w:eastAsia="Arial" w:hAnsi="Arial"/>
                <w:sz w:val="17"/>
                <w:szCs w:val="17"/>
                <w:color w:val="auto"/>
                <w:w w:val="98"/>
              </w:rPr>
              <w:t>% of sales</w:t>
            </w:r>
            <w:r>
              <w:rPr>
                <w:rFonts w:ascii="Arial" w:cs="Arial" w:eastAsia="Arial" w:hAnsi="Arial"/>
                <w:sz w:val="28"/>
                <w:szCs w:val="28"/>
                <w:color w:val="auto"/>
                <w:w w:val="98"/>
                <w:vertAlign w:val="superscript"/>
              </w:rPr>
              <w:t>(1)</w:t>
            </w:r>
          </w:p>
        </w:tc>
        <w:tc>
          <w:tcPr>
            <w:tcW w:w="1340" w:type="dxa"/>
            <w:vAlign w:val="bottom"/>
            <w:gridSpan w:val="6"/>
          </w:tcPr>
          <w:p>
            <w:pPr>
              <w:jc w:val="right"/>
              <w:ind w:right="287"/>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100" w:type="dxa"/>
            <w:vAlign w:val="bottom"/>
            <w:gridSpan w:val="2"/>
          </w:tcPr>
          <w:p>
            <w:pPr>
              <w:jc w:val="right"/>
              <w:ind w:right="80"/>
              <w:spacing w:after="0" w:line="250" w:lineRule="exact"/>
              <w:rPr>
                <w:sz w:val="20"/>
                <w:szCs w:val="20"/>
                <w:color w:val="auto"/>
              </w:rPr>
            </w:pPr>
            <w:r>
              <w:rPr>
                <w:rFonts w:ascii="Arial" w:cs="Arial" w:eastAsia="Arial" w:hAnsi="Arial"/>
                <w:sz w:val="17"/>
                <w:szCs w:val="17"/>
                <w:color w:val="auto"/>
                <w:w w:val="98"/>
              </w:rPr>
              <w:t>% of sales</w:t>
            </w:r>
            <w:r>
              <w:rPr>
                <w:rFonts w:ascii="Arial" w:cs="Arial" w:eastAsia="Arial" w:hAnsi="Arial"/>
                <w:sz w:val="28"/>
                <w:szCs w:val="28"/>
                <w:color w:val="auto"/>
                <w:w w:val="98"/>
                <w:vertAlign w:val="superscript"/>
              </w:rPr>
              <w:t>(1)</w:t>
            </w:r>
          </w:p>
        </w:tc>
        <w:tc>
          <w:tcPr>
            <w:tcW w:w="0" w:type="dxa"/>
            <w:vAlign w:val="bottom"/>
          </w:tcPr>
          <w:p>
            <w:pPr>
              <w:spacing w:after="0"/>
              <w:rPr>
                <w:sz w:val="1"/>
                <w:szCs w:val="1"/>
                <w:color w:val="auto"/>
              </w:rPr>
            </w:pPr>
          </w:p>
        </w:tc>
      </w:tr>
      <w:tr>
        <w:trPr>
          <w:trHeight w:val="183"/>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1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4,656</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1.9</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1,646</w:t>
            </w:r>
          </w:p>
        </w:tc>
        <w:tc>
          <w:tcPr>
            <w:tcW w:w="16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0.7</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2,948</w:t>
            </w:r>
          </w:p>
        </w:tc>
        <w:tc>
          <w:tcPr>
            <w:tcW w:w="160" w:type="dxa"/>
            <w:vAlign w:val="bottom"/>
          </w:tcPr>
          <w:p>
            <w:pPr>
              <w:spacing w:after="0"/>
              <w:rPr>
                <w:sz w:val="16"/>
                <w:szCs w:val="16"/>
                <w:color w:val="auto"/>
              </w:rPr>
            </w:pPr>
          </w:p>
        </w:tc>
        <w:tc>
          <w:tcPr>
            <w:tcW w:w="11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taxes</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(2,601)</w:t>
            </w:r>
          </w:p>
        </w:tc>
        <w:tc>
          <w:tcPr>
            <w:tcW w:w="10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23,738</w:t>
            </w:r>
          </w:p>
        </w:tc>
        <w:tc>
          <w:tcPr>
            <w:tcW w:w="16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9.7</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0"/>
              </w:rPr>
              <w:t>24,508</w:t>
            </w:r>
          </w:p>
        </w:tc>
        <w:tc>
          <w:tcPr>
            <w:tcW w:w="160" w:type="dxa"/>
            <w:vAlign w:val="bottom"/>
          </w:tcPr>
          <w:p>
            <w:pPr>
              <w:spacing w:after="0"/>
              <w:rPr>
                <w:sz w:val="16"/>
                <w:szCs w:val="16"/>
                <w:color w:val="auto"/>
              </w:rPr>
            </w:pPr>
          </w:p>
        </w:tc>
        <w:tc>
          <w:tcPr>
            <w:tcW w:w="11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2,169</w:t>
            </w:r>
          </w:p>
        </w:tc>
        <w:tc>
          <w:tcPr>
            <w:tcW w:w="160" w:type="dxa"/>
            <w:vAlign w:val="bottom"/>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183"/>
        </w:trPr>
        <w:tc>
          <w:tcPr>
            <w:tcW w:w="516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32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29,110</w:t>
            </w:r>
          </w:p>
        </w:tc>
        <w:tc>
          <w:tcPr>
            <w:tcW w:w="160" w:type="dxa"/>
            <w:vAlign w:val="bottom"/>
          </w:tcPr>
          <w:p>
            <w:pPr>
              <w:spacing w:after="0"/>
              <w:rPr>
                <w:sz w:val="15"/>
                <w:szCs w:val="15"/>
                <w:color w:val="auto"/>
              </w:rPr>
            </w:pPr>
          </w:p>
        </w:tc>
        <w:tc>
          <w:tcPr>
            <w:tcW w:w="104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12.0 %</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0"/>
              </w:rPr>
              <w:t>29,756</w:t>
            </w:r>
          </w:p>
        </w:tc>
        <w:tc>
          <w:tcPr>
            <w:tcW w:w="16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140"/>
              <w:spacing w:after="0" w:line="182" w:lineRule="exact"/>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5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60" w:type="dxa"/>
            <w:vAlign w:val="bottom"/>
          </w:tcPr>
          <w:p>
            <w:pPr>
              <w:spacing w:after="0"/>
              <w:rPr>
                <w:sz w:val="20"/>
                <w:szCs w:val="20"/>
                <w:color w:val="auto"/>
              </w:rPr>
            </w:pPr>
            <w:r>
              <w:rPr>
                <w:rFonts w:ascii="Arial" w:cs="Arial" w:eastAsia="Arial" w:hAnsi="Arial"/>
                <w:sz w:val="18"/>
                <w:szCs w:val="18"/>
                <w:color w:val="auto"/>
                <w:w w:val="98"/>
              </w:rPr>
              <w:t>The calculation of pretax return on capital employed is as follows:</w:t>
            </w: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September 30,</w:t>
            </w:r>
          </w:p>
        </w:tc>
        <w:tc>
          <w:tcPr>
            <w:tcW w:w="7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4"/>
          </w:tcPr>
          <w:p>
            <w:pPr>
              <w:jc w:val="right"/>
              <w:ind w:right="290"/>
              <w:spacing w:after="0" w:line="250" w:lineRule="exact"/>
              <w:rPr>
                <w:sz w:val="20"/>
                <w:szCs w:val="20"/>
                <w:color w:val="auto"/>
              </w:rPr>
            </w:pPr>
            <w:r>
              <w:rPr>
                <w:rFonts w:ascii="Arial" w:cs="Arial" w:eastAsia="Arial" w:hAnsi="Arial"/>
                <w:sz w:val="17"/>
                <w:szCs w:val="17"/>
                <w:b w:val="1"/>
                <w:bCs w:val="1"/>
                <w:color w:val="auto"/>
                <w:w w:val="92"/>
              </w:rPr>
              <w:t>2020</w:t>
            </w:r>
            <w:r>
              <w:rPr>
                <w:rFonts w:ascii="Arial" w:cs="Arial" w:eastAsia="Arial" w:hAnsi="Arial"/>
                <w:sz w:val="28"/>
                <w:szCs w:val="28"/>
                <w:b w:val="1"/>
                <w:bCs w:val="1"/>
                <w:color w:val="auto"/>
                <w:w w:val="92"/>
                <w:vertAlign w:val="superscript"/>
              </w:rPr>
              <w:t>(1)</w:t>
            </w:r>
          </w:p>
        </w:tc>
        <w:tc>
          <w:tcPr>
            <w:tcW w:w="60" w:type="dxa"/>
            <w:vAlign w:val="bottom"/>
          </w:tcPr>
          <w:p>
            <w:pPr>
              <w:spacing w:after="0"/>
              <w:rPr>
                <w:sz w:val="21"/>
                <w:szCs w:val="21"/>
                <w:color w:val="auto"/>
              </w:rPr>
            </w:pPr>
          </w:p>
        </w:tc>
        <w:tc>
          <w:tcPr>
            <w:tcW w:w="1440" w:type="dxa"/>
            <w:vAlign w:val="bottom"/>
            <w:gridSpan w:val="4"/>
          </w:tcPr>
          <w:p>
            <w:pPr>
              <w:jc w:val="right"/>
              <w:ind w:right="290"/>
              <w:spacing w:after="0" w:line="250" w:lineRule="exact"/>
              <w:rPr>
                <w:sz w:val="20"/>
                <w:szCs w:val="20"/>
                <w:color w:val="auto"/>
              </w:rPr>
            </w:pPr>
            <w:r>
              <w:rPr>
                <w:rFonts w:ascii="Arial" w:cs="Arial" w:eastAsia="Arial" w:hAnsi="Arial"/>
                <w:sz w:val="17"/>
                <w:szCs w:val="17"/>
                <w:b w:val="1"/>
                <w:bCs w:val="1"/>
                <w:color w:val="auto"/>
              </w:rPr>
              <w:t>2019</w:t>
            </w:r>
            <w:r>
              <w:rPr>
                <w:rFonts w:ascii="Arial" w:cs="Arial" w:eastAsia="Arial" w:hAnsi="Arial"/>
                <w:sz w:val="28"/>
                <w:szCs w:val="28"/>
                <w:b w:val="1"/>
                <w:bCs w:val="1"/>
                <w:color w:val="auto"/>
                <w:vertAlign w:val="superscript"/>
              </w:rPr>
              <w:t>(1)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(Loss) income from operations (trailing twelve months)</w:t>
            </w:r>
          </w:p>
        </w:tc>
        <w:tc>
          <w:tcPr>
            <w:tcW w:w="1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rPr>
              <w:t>(712)</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3,762</w:t>
            </w: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378,380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389,561</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4"/>
          </w:tcPr>
          <w:p>
            <w:pPr>
              <w:jc w:val="right"/>
              <w:ind w:right="40"/>
              <w:spacing w:after="0" w:line="189" w:lineRule="exact"/>
              <w:rPr>
                <w:sz w:val="20"/>
                <w:szCs w:val="20"/>
                <w:color w:val="auto"/>
              </w:rPr>
            </w:pPr>
            <w:r>
              <w:rPr>
                <w:rFonts w:ascii="Arial" w:cs="Arial" w:eastAsia="Arial" w:hAnsi="Arial"/>
                <w:sz w:val="18"/>
                <w:szCs w:val="18"/>
                <w:color w:val="auto"/>
              </w:rPr>
              <w:t>(15,605)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4"/>
          </w:tcPr>
          <w:p>
            <w:pPr>
              <w:jc w:val="right"/>
              <w:ind w:right="40"/>
              <w:spacing w:after="0" w:line="189" w:lineRule="exact"/>
              <w:rPr>
                <w:sz w:val="20"/>
                <w:szCs w:val="20"/>
                <w:color w:val="auto"/>
              </w:rPr>
            </w:pPr>
            <w:r>
              <w:rPr>
                <w:rFonts w:ascii="Arial" w:cs="Arial" w:eastAsia="Arial" w:hAnsi="Arial"/>
                <w:sz w:val="18"/>
                <w:szCs w:val="18"/>
                <w:color w:val="auto"/>
              </w:rPr>
              <w:t>(35,986)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(26,119)</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Less: Lease liability</w:t>
            </w:r>
            <w:r>
              <w:rPr>
                <w:rFonts w:ascii="Arial" w:cs="Arial" w:eastAsia="Arial" w:hAnsi="Arial"/>
                <w:sz w:val="29"/>
                <w:szCs w:val="29"/>
                <w:color w:val="auto"/>
                <w:vertAlign w:val="superscript"/>
              </w:rPr>
              <w:t>(2)</w:t>
            </w:r>
          </w:p>
        </w:tc>
        <w:tc>
          <w:tcPr>
            <w:tcW w:w="1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(154,962)</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(114,490)</w:t>
            </w: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4"/>
          </w:tcPr>
          <w:p>
            <w:pPr>
              <w:jc w:val="right"/>
              <w:ind w:right="40"/>
              <w:spacing w:after="0" w:line="189" w:lineRule="exact"/>
              <w:rPr>
                <w:sz w:val="20"/>
                <w:szCs w:val="20"/>
                <w:color w:val="auto"/>
              </w:rPr>
            </w:pPr>
            <w:r>
              <w:rPr>
                <w:rFonts w:ascii="Arial" w:cs="Arial" w:eastAsia="Arial" w:hAnsi="Arial"/>
                <w:sz w:val="18"/>
                <w:szCs w:val="18"/>
                <w:color w:val="auto"/>
              </w:rPr>
              <w:t>(4,185)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183"/>
        </w:trPr>
        <w:tc>
          <w:tcPr>
            <w:tcW w:w="51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167,532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219,931</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392"/>
        </w:trPr>
        <w:tc>
          <w:tcPr>
            <w:tcW w:w="516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232" w:lineRule="exact"/>
        <w:rPr>
          <w:sz w:val="20"/>
          <w:szCs w:val="20"/>
          <w:color w:val="auto"/>
        </w:rPr>
      </w:pPr>
    </w:p>
    <w:p>
      <w:pPr>
        <w:ind w:firstLine="59"/>
        <w:spacing w:after="0" w:line="194" w:lineRule="auto"/>
        <w:tabs>
          <w:tab w:leader="none" w:pos="288" w:val="left"/>
        </w:tabs>
        <w:numPr>
          <w:ilvl w:val="1"/>
          <w:numId w:val="3"/>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 w:lineRule="exact"/>
        <w:rPr>
          <w:rFonts w:ascii="Arial" w:cs="Arial" w:eastAsia="Arial" w:hAnsi="Arial"/>
          <w:sz w:val="28"/>
          <w:szCs w:val="28"/>
          <w:color w:val="auto"/>
          <w:vertAlign w:val="superscript"/>
        </w:rPr>
      </w:pPr>
    </w:p>
    <w:p>
      <w:pPr>
        <w:ind w:left="220" w:hanging="212"/>
        <w:spacing w:after="0" w:line="205" w:lineRule="auto"/>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Represents the average lease liability and deferred rent account balances for the four quarters ended as of each of the balance sheet 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principal liquidity requirements have been for working capital and capital expenditures. Our principal sources of liquidity are $9.0 million of cash and cash equivalents at September 30, 2020, our cash flow from operations, and borrowings available under our Credit Agreement. We expect to use this liquidity for purchasing additional merchandise inventory, maintaining our existing stores, and general corporate purposes.</w:t>
      </w:r>
    </w:p>
    <w:p>
      <w:pPr>
        <w:spacing w:after="0" w:line="138"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Following the onset of COVID-19, we took immediate steps to curtail operating expenses and conserve cash. Actions taken to reduce expenses included workforce reductions, the temporary suspension of incentive compensation programs, salaried employee wage reductions, adjustments to the number of replenishment trucks sent from our distribution centers to our stores, decreases in advertising spend and curtailment of other SG&amp;A costs. These cost savings measures, combined with a lower level of variable selling expenses, have contributed to a $17.3 million reduction of SG&amp;A expenses during the nine months ended September 30, 2020 when compared to the nine months ended September 30, 2019. Actions taken to conserve cash included cutting anticipated spending on capital projects and negotiating rent deferrals with our landlords. These actions contributed to the cash generating activities that enabled us to reduce our debt balance by $56.0 million during the nine months ended September 30, 2020. While we are encouraged by the current business trend, the recent escalation of COVID-19 cases across many of the markets we serve could continue to have a negative impact on our business. Accordingly, we are taking a conservative approach to adding headcount, increasing trucking schedules, and taking other actions that would lead to an increase in SG&amp;A expense.</w:t>
      </w:r>
    </w:p>
    <w:p>
      <w:pPr>
        <w:spacing w:after="0" w:line="14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September 30, 2020, the base interest rate was 4.25% and the LIBOR-based interest rate was 2.15%. Borrowings outstanding consisted of $7.0 million on the revolving line of credit as of September 30, 2020. We also have standby letters of credit outstanding related to our workers’ compensation and medical insurance policies. As of September 30, 2020 and 2019, the standby letters of credit totaled $1.9 million and $1.3 million, respectively. There was $91.1 million available for borrowing on the revolving line of credit as of September 30, 2020, which may be used to support our growth and for working capital purposes.</w:t>
      </w:r>
    </w:p>
    <w:p>
      <w:pPr>
        <w:spacing w:after="0" w:line="14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September 30, 2020.</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believe that our cash flow from operations, together with our existing cash and cash equivalents, and borrowings available under our credit facility, will be sufficient to fund our operations and anticipated capital expenditures over at least the next twelve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color w:val="auto"/>
        </w:rPr>
        <w:t>Capital expenditures were $1.3 million and $22.8 million for the nine months ended September 30, 2020 and 2019, respectively. The decrease in capital expenditures was driven by our plan to limit capital spending and focus on reducing debt during the nine months ended September 30, 2020.</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nine months ended September 30, 2020 and 2019.</w:t>
      </w:r>
    </w:p>
    <w:p>
      <w:pPr>
        <w:spacing w:after="0" w:line="210"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Nine Months Ended</w:t>
      </w:r>
    </w:p>
    <w:p>
      <w:pPr>
        <w:jc w:val="center"/>
        <w:ind w:left="8320"/>
        <w:spacing w:after="0" w:line="233" w:lineRule="auto"/>
        <w:rPr>
          <w:sz w:val="20"/>
          <w:szCs w:val="20"/>
          <w:color w:val="auto"/>
        </w:rPr>
      </w:pPr>
      <w:r>
        <w:rPr>
          <w:rFonts w:ascii="Arial" w:cs="Arial" w:eastAsia="Arial" w:hAnsi="Arial"/>
          <w:sz w:val="18"/>
          <w:szCs w:val="18"/>
          <w:color w:val="auto"/>
        </w:rPr>
        <w:t>September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57,347</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33,612</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(1,315)</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(22,229)</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(56,278)</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(8,540)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Net cash provided by operating activities during the nine months ended September 30, 2020 was $57.3 million compared with $33.6 million during the nine months ended September 30, 2019. The increase was primarily attributable to an improvement in net income, actions taken to reduce inventory levels, and an increase in customer deposits during the nine months ended September 30,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Net cash used in investing activities totaled $1.3 million for the nine months ended September 30, 2020 compared with $22.2 million for the nine months ended September 30, 2019. The decrease in capital expenditures was driven by our plan to limit capital spending and focus on reducing debt during the nine months ending September 30,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Net cash used in financing activities was $56.3 million for the nine months ended September 30, 2020 compared with $8.5 million for the nine months ended September 30, 2019. Net cash used in financing activities during the nine months ended September 30, 2020 was applied toward reducing our long-term debt by $56.0 million during the nine months ending September 30, 2020.</w:t>
      </w:r>
    </w:p>
    <w:p>
      <w:pPr>
        <w:spacing w:after="0" w:line="14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Cash and cash equivalents totaled $9.0 million at September 30, 2020 compared with $9.1 million at December 31, 2019. Working capital was $25.8 million at September 30, 2020 compared with $52.3 million at December 31, 2019. The decrease in working capital was primarily due to a decrease in inventory and an increase in customer deposits.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As of September 30, 2020 and December 31, 2019,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there were no material changes to our contractual obligations outside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7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June 2016, the FASB issued a final standard on accounting for credit losses. The new standard was initially effective for us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Securities and Exchange Commission (the “SEC”) to fiscal years beginning after December 15, 2022, including interim periods within those years. Early adoption is permitted. We are evaluating the effect of this standard on our consolidated financial statements and related disclosures.</w:t>
      </w:r>
    </w:p>
    <w:p>
      <w:pPr>
        <w:spacing w:after="0" w:line="15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beginning of the reporting period when the election is made through December 31, 2022. We are currently evaluating the impact this guidance will have on our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With the exception of the impacts of COVID-19, which are discussed elsewhere in this document, there have been no material changes in our reported market risks or risk management policies since the filing of our Annual Report on Form 10-K for the year ended December 31, 2019, which was filed with the SEC on March 13,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September 30, 2020 and have concluded that our disclosure controls and procedures were not effective as of September 30, 2020 due to material weaknesses in our internal control over financial reporting as described below.</w:t>
      </w:r>
    </w:p>
    <w:p>
      <w:pPr>
        <w:spacing w:after="0" w:line="15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January 1, 2019, we implemented an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48" w:lineRule="exact"/>
        <w:rPr>
          <w:sz w:val="20"/>
          <w:szCs w:val="20"/>
          <w:color w:val="auto"/>
        </w:rPr>
      </w:pPr>
    </w:p>
    <w:p>
      <w:pPr>
        <w:ind w:left="660" w:right="120"/>
        <w:spacing w:after="0" w:line="231" w:lineRule="auto"/>
        <w:rPr>
          <w:sz w:val="20"/>
          <w:szCs w:val="20"/>
          <w:color w:val="auto"/>
        </w:rPr>
      </w:pPr>
      <w:r>
        <w:rPr>
          <w:rFonts w:ascii="Arial" w:cs="Arial" w:eastAsia="Arial" w:hAnsi="Arial"/>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148" w:lineRule="exact"/>
        <w:rPr>
          <w:sz w:val="20"/>
          <w:szCs w:val="20"/>
          <w:color w:val="auto"/>
        </w:rPr>
      </w:pPr>
    </w:p>
    <w:p>
      <w:pPr>
        <w:ind w:left="660" w:right="140"/>
        <w:spacing w:after="0" w:line="261" w:lineRule="auto"/>
        <w:rPr>
          <w:sz w:val="20"/>
          <w:szCs w:val="20"/>
          <w:color w:val="auto"/>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the affected ITGCs and, therefore, are also deemed ineffective because they are adversely impacted by ineffective ITGCs.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Remediation of Material Weaknesses</w:t>
      </w:r>
    </w:p>
    <w:p>
      <w:pPr>
        <w:spacing w:after="0" w:line="175"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We have adjusted, and intend to consider further adjustments to, our previously disclosed plans relating to addressing these material weaknesses. The identified material weaknesses in internal control over financial reporting will not be considered remediated until controls have been designed and/or controls are in operation for a sufficient period of time for our management to conclude that the material weaknesses have been remediated. We will continue to assess the effectiveness of our remediation efforts in connection with our evaluations of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There were no changes in internal control over financial reporting (as defined by Rules 13a-15(f) or 15d-15(f) under the Exchange Act) during the quarter ended September 30, 2020 that have materially affected, or are reasonably likely to materially affect, our internal control over financial reporting.</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is, from time to time, party to lawsuits, threatened lawsuits, disputes and other claims arising in the normal course of business. The Company assesses its liabilities and contingencies in connection with outstanding legal proceedings utilizing the latest information available. Where it is probable that the Company will incur a loss and the amount of the loss can be reasonably estimated, the Company records a liability in its consolidated financial statements. These legal accruals may be increased or decreased to reflect any relevant developments on a quarterly basis. Where a loss is not probable or the amount of the loss is not estimable, the Company does not record an accrual, consistent with applicable accounting guidance. Based on information currently available to the Company, advice of counsel, and available insurance coverage, the Company believes that its established accruals are adequate and the liabilities arising from the legal proceedings will not have a material adverse effect on its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the Company’s results of operations for a particular period, depending upon the size of the loss or the Company’s income for that particular period.</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previously disclosed, the Company was a nominal defendant and certain current and former directors were individual defendants in litigation brought by K-Bar Holdings LLC and Wynnefield Capital, Inc. (“Plaintiffs”), in the Delaware Court of Chancery (the “Action”), in November 2019. Plaintiffs pleaded the Action as a derivative claim on behalf of the Company and also on behalf of a putative class of certain holders of the Company’s common stock as of October 18, 2019 (the “Putative Class”). Plaintiffs alleged breaches of fiduciary duty in connection with, among other things, the Company’s decision to delist from Nasdaq and deregister its common stock under the Exchange Act, as amended. As previously disclosed, on June 30, 2020, the Company, the individual defendants, and Plaintiffs reached an agreement to settle all claims in the Action, which was documented in a Stipulation of Settlement dated August 7, 2020 (the “Stipulation of Settlement”). Among other terms, the Stipulation of Settlement provides for a settlement fund of $12.0 million, which was funded by the Company’s insurers, and which will be distributed to members of the Putative Class pursuant to an allocation and claims distribution process proposed by the Plaintiffs and approved by the Court. The Stipulation of Settlement was approved by the Court on October 12, 2020. The Court also granted the Plaintiffs’ counsel a $2.7 million award of attorney’s fees in connection with the settlement of the derivative claims. The Company’s insurers have agreed to cover the fee award to the Plaintiffs’ attorneys. The Company recorded a $14.7 million other current liability and a $14.7 million other current asset in the Consolidated Balance Sheet as of September 30, 2020 to reflect the Company’s obligation to the Putative Class, the attorney fee award and the corresponding receivable from the insurance companies.</w:t>
      </w:r>
    </w:p>
    <w:p>
      <w:pPr>
        <w:spacing w:after="0" w:line="14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There have been no material changes from the risk factors previously disclosed in our Annual Report on Form 10-K for the year ended December 31, 2019 other than with respect to the risk factor discussed below. In addition, many of the risk factors disclosed in Item 1A of our Annual Report have been, and we anticipate will continue to be further, heightened or exacerbated by the impact of the COVID-19 pandemic.</w:t>
      </w:r>
    </w:p>
    <w:p>
      <w:pPr>
        <w:spacing w:after="0" w:line="138"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b w:val="1"/>
          <w:bCs w:val="1"/>
          <w:i w:val="1"/>
          <w:iCs w:val="1"/>
          <w:color w:val="auto"/>
        </w:rPr>
        <w:t>The COVID-19 pandemic has negatively impacted, and we anticipate will continue to adversely affect, our business, financial condition, results of operations and cash flows, and our ability to maintain compliance with our current, or obtain new, lending facilities.</w:t>
      </w:r>
    </w:p>
    <w:p>
      <w:pPr>
        <w:spacing w:after="0" w:line="9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novel strain of coronavirus, COVID-19, was first identified in China in late 2019. It has since spread globally and was declared a pandemic by the World Health Organization in March 2020. The COVID-19 pandemic has materially adversely affected our business, and we anticipate it will continue to negatively impact us at least throughout the duration of the pandemic. Due to the inherent uncertainty of the unprecedented and rapidly evolving situation, the full extent of the impact of the COVID-19 pandemic on our business and financial performance, including our ability to comply with the financial covenants under our Credit Agreement, remains uncertain. The United States has entered a recession as a result of the COVID-19 pandemic, which may prolong and exacerbate the negative impact on us.</w:t>
      </w:r>
    </w:p>
    <w:p>
      <w:pPr>
        <w:spacing w:after="0" w:line="148"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In response to COVID-19, governmental authorities have implemented numerous measures to try to contain the virus, such as travel bans and restrictions, prohibitions on group events and gatherings, shutdowns of certain businesses, curfews, shelter in place orders and recommendations to practice social distancing. Although many governmental measures have had specific expiration dates, some of those measures have already been extended more than once, and there is considerable uncertainty regarding the duration of such measures and the implementation of any potential future measures, especially as cases continue to increase across the United States,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with the potential for additional challenges resulting from the colder winter months, including the possibility that cases will continue to climb as more activities move indoors and the onset of cold and flu season. Such measures have impacted, and may continue to affect, our workforce, operations, suppliers and customers. For instance, several of our stores were required to limit their hours or close entirely, and our store traffic and sales decreased by approximately 50% during the initial weeks following the end of the first quarter of 2020 when compared to the same period in 2019. While many retailers elected to expand their hours as state and local restrictions started to ease, we maintained a reduced hours schedule. The decision to limit the number of hours our stores were open had an adverse impact on customer traffic and sales. We also experienced an elevated level of product outages during the third quarter of 2020 due to vendor production delays. In many instances, vendor plants were forced to close or operate at a reduced capacity pursuant to a government mandate following the onset of COVID-19. While most vendors have been able to resume normal operations, many continue to work through large backlogs, and we could be materially adversely affected by any product shortages resulting from such backlogs.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reduced the size of our workforce following the onset of COVID-19 and may need to take additional actions to further reduce the size of our workforce in the future; such reductions incur costs, and we can provide no assurance that we will be able to rehire our workforce in the event our business experiences a subsequent recovery. Furthermore, while we have implemented work from home policies for a portion of our workforce, our store-based workforce comes into close contact with our customers as part of their day-to-day responsibilities, which increases the likelihood that they could contract COVID-19, which could potentially adversely affect our ability to adequately staff our stores and require us to incur additional costs to sanitize the impacted location. When a health risk is identified, we continue to follow a practice to close our stores, quarantine affected staff and complete a rigorous cleaning process before reopening the store, which process can take 2-3 days to complete and has had an adverse impact on our sales. In addition, employees working remotely may not have the resources available to enable them to maintain the same level of productivity and efficiency, and increased reliance on remote access to our information systems increases our exposure to potential cybersecurity threats.</w:t>
      </w:r>
    </w:p>
    <w:p>
      <w:pPr>
        <w:spacing w:after="0" w:line="13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took steps to curtail our operating expenses and conserve cash, including the temporary suspension of incentive compensation programs and a reduction of salaried employee compensation; limitation of inventory purchases; curtailment of anticipated spending on capital projects; and negotiation of rent deferrals with our landlords during the second quarter of 2020. We took a conservative approach to adding back incremental costs to our expense structure during the third quarter of 2020, and we have maintained a reduced hours schedule for our stores. We may elect or need to take additional remedial measures in the future as the information available to us continues to develop, including with respect to our workforce, relationships with our third-party vendors, and our customers. There is no certainty that the remedial measures we have implemented to date, or any additional remedial steps we may take in the future, will be sufficient to mitigate the risks posed by COVID-19. Further, such measures could potentially materially adversely affect our business, financial condition and results of operations and create additional risks for us.</w:t>
      </w:r>
    </w:p>
    <w:p>
      <w:pPr>
        <w:spacing w:after="0" w:line="150"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recent escalation of COVID-19 cases across many of the markets we serve could have a negative impact on us. Specifically, we could be adversely impacted by limitations on our employees to perform their work due to illness caused by the pandemic or local, state, or federal orders requiring our stores to close or employees to remain at home; limitation of carriers to deliver our product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ultimate magnitude of COVID-19, including the full extent of the material negative impact on our financial and operational results, will depend on future developments, including the duration and severity of the pandemic, including the extent of the current resurgence of cases in the United States and the possibility that cases will continue to increase as the weather becomes colder, and the related length of its impact on the global economy, which remain uncertain and cannot be predicted at this time. The resumption of our normal business operations may be delayed or constrained by lingering effects of COVID-19 on our customers, suppliers and/or third-party service providers. Furthermore, the extent to which our mitigation efforts are successful, if at all, is not currently ascertainable. Due to the daily evolution of the COVID-19 pandemic and the responses to curb its spread, we cannot predict the full impact of the COVID-19 pandemic on our business and results of operations, but our business, financial condition, results of operations and cash flows have already been materially adversely impacted, and we anticipate they will continue to be adversely affected by the COVID-19 pandemic and its negative effects on global economic conditions. Any recovery from the COVID-19 pandemic and related economic impact may also be slowed or reversed by a variety of factors, such as the current widespread resurgence in COVID-19 infections. In addition, even after the COVID-19 pandemic has subsided, we may continue to experience adverse impacts to our business as a result of its national and, to some extent, global economic impact, including the current recession and any recession that may occur in the future.</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67"/>
        </w:trPr>
        <w:tc>
          <w:tcPr>
            <w:tcW w:w="7860" w:type="dxa"/>
            <w:vAlign w:val="bottom"/>
            <w:gridSpan w:val="5"/>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4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Maximum Number</w:t>
            </w: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4"/>
              </w:rPr>
              <w:t>Shares Purchased as</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of Shares that May</w:t>
            </w: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93"/>
              </w:rPr>
              <w:t>Part of Publicly</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6"/>
              </w:rPr>
              <w:t>Yet be Purchased</w:t>
            </w:r>
          </w:p>
        </w:tc>
      </w:tr>
      <w:tr>
        <w:trPr>
          <w:trHeight w:val="189"/>
        </w:trPr>
        <w:tc>
          <w:tcPr>
            <w:tcW w:w="4860" w:type="dxa"/>
            <w:vAlign w:val="bottom"/>
          </w:tcPr>
          <w:p>
            <w:pPr>
              <w:spacing w:after="0"/>
              <w:rPr>
                <w:sz w:val="16"/>
                <w:szCs w:val="16"/>
                <w:color w:val="auto"/>
              </w:rPr>
            </w:pPr>
          </w:p>
        </w:tc>
        <w:tc>
          <w:tcPr>
            <w:tcW w:w="15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Total Number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89" w:lineRule="exact"/>
              <w:rPr>
                <w:sz w:val="20"/>
                <w:szCs w:val="20"/>
                <w:color w:val="auto"/>
              </w:rPr>
            </w:pPr>
            <w:r>
              <w:rPr>
                <w:rFonts w:ascii="Arial" w:cs="Arial" w:eastAsia="Arial" w:hAnsi="Arial"/>
                <w:sz w:val="18"/>
                <w:szCs w:val="18"/>
                <w:color w:val="auto"/>
                <w:w w:val="99"/>
              </w:rPr>
              <w:t>Average Price</w:t>
            </w:r>
          </w:p>
        </w:tc>
        <w:tc>
          <w:tcPr>
            <w:tcW w:w="19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Announced Plans or</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Under Plans or</w:t>
            </w:r>
          </w:p>
        </w:tc>
      </w:tr>
      <w:tr>
        <w:trPr>
          <w:trHeight w:val="217"/>
        </w:trPr>
        <w:tc>
          <w:tcPr>
            <w:tcW w:w="48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1"/>
              </w:rPr>
              <w:t>Shares Purchased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3"/>
              </w:rPr>
              <w:t>Paid per Share</w:t>
            </w:r>
          </w:p>
        </w:tc>
        <w:tc>
          <w:tcPr>
            <w:tcW w:w="26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Program</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July 1, 2020 - July 31, 2020</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27,486</w:t>
            </w:r>
          </w:p>
        </w:tc>
        <w:tc>
          <w:tcPr>
            <w:tcW w:w="260" w:type="dxa"/>
            <w:vAlign w:val="bottom"/>
            <w:tcBorders>
              <w:top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6"/>
              </w:rPr>
              <w:t>(1)</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2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August 1, 2020 - August 31, 2020</w:t>
            </w:r>
          </w:p>
        </w:tc>
        <w:tc>
          <w:tcPr>
            <w:tcW w:w="1500" w:type="dxa"/>
            <w:vAlign w:val="bottom"/>
          </w:tcPr>
          <w:p>
            <w:pPr>
              <w:jc w:val="right"/>
              <w:spacing w:after="0"/>
              <w:rPr>
                <w:sz w:val="20"/>
                <w:szCs w:val="20"/>
                <w:color w:val="auto"/>
              </w:rPr>
            </w:pPr>
            <w:r>
              <w:rPr>
                <w:rFonts w:ascii="Arial" w:cs="Arial" w:eastAsia="Arial" w:hAnsi="Arial"/>
                <w:sz w:val="18"/>
                <w:szCs w:val="18"/>
                <w:color w:val="auto"/>
              </w:rPr>
              <w:t>2,397</w:t>
            </w:r>
          </w:p>
        </w:tc>
        <w:tc>
          <w:tcPr>
            <w:tcW w:w="260" w:type="dxa"/>
            <w:vAlign w:val="bottom"/>
          </w:tcPr>
          <w:p>
            <w:pPr>
              <w:jc w:val="right"/>
              <w:ind w:right="25"/>
              <w:spacing w:after="0"/>
              <w:rPr>
                <w:sz w:val="20"/>
                <w:szCs w:val="20"/>
                <w:color w:val="auto"/>
              </w:rPr>
            </w:pPr>
            <w:r>
              <w:rPr>
                <w:rFonts w:ascii="Arial" w:cs="Arial" w:eastAsia="Arial" w:hAnsi="Arial"/>
                <w:sz w:val="15"/>
                <w:szCs w:val="15"/>
                <w:color w:val="auto"/>
                <w:w w:val="76"/>
              </w:rPr>
              <w:t>(2)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2020 - September 30,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6"/>
              </w:rPr>
              <w:t>(2)</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35,945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240" w:hanging="332"/>
        <w:spacing w:after="0" w:line="201"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A total of 14,779 shares were withheld by the Company to satisfy tax withholding obligations due upon the vesting of restricted stock grants, as allowed by the 2012 Omnibus Award Plan. The Company did not pay cash to repurchase these shares, nor were these repurchases part of a publicly announced plan or program. An additional 12,707 shares were repurchased by the Company pursuant to the terms of the underlying restricted stock agreements, as allowed by the 2012 Omnibus Award Plan. The Company paid $0.0001 per share, the par value, to repurchase these shares. These repurchases were not part of a publicly announced plan or program.</w:t>
      </w:r>
    </w:p>
    <w:p>
      <w:pPr>
        <w:spacing w:after="0" w:line="219" w:lineRule="exact"/>
        <w:rPr>
          <w:rFonts w:ascii="Arial" w:cs="Arial" w:eastAsia="Arial" w:hAnsi="Arial"/>
          <w:sz w:val="30"/>
          <w:szCs w:val="30"/>
          <w:color w:val="auto"/>
          <w:vertAlign w:val="superscript"/>
        </w:rPr>
      </w:pPr>
    </w:p>
    <w:p>
      <w:pPr>
        <w:ind w:left="340" w:right="20" w:hanging="332"/>
        <w:spacing w:after="0" w:line="192"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These shares were repurchased by the Company pursuant to the terms of the underlying restricted stock agreements, as allowed by the 2012 Omnibus Award Plan. The Company paid $0.0001 per share, the par value, to repurchase these shares. These repurchases were not part of a publicly announced plan or program.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following table sets forth, as of September 30, 2020, information regarding beneficial ownership of our common stock by each person, or group of affiliated persons, known by us to beneficially own more than 5% of our common stock.</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5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have based our calculation of the percentage of beneficial ownership based on 51,693,455 shares of our common stock outstanding on September 30, 2020.</w:t>
      </w:r>
    </w:p>
    <w:p>
      <w:pPr>
        <w:spacing w:after="0" w:line="14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6"/>
              </w:rPr>
              <w:t>Shares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9"/>
              </w:rPr>
              <w:t>Beneficially</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3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Owned</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62"/>
        </w:trPr>
        <w:tc>
          <w:tcPr>
            <w:tcW w:w="138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w w:val="90"/>
              </w:rPr>
              <w:t>5% Stockholders:</w:t>
            </w: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b w:val="1"/>
                <w:bCs w:val="1"/>
                <w:color w:val="auto"/>
                <w:w w:val="87"/>
              </w:rPr>
              <w:t>(6)</w:t>
            </w:r>
          </w:p>
        </w:tc>
        <w:tc>
          <w:tcPr>
            <w:tcW w:w="27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39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380" w:type="dxa"/>
            <w:vAlign w:val="bottom"/>
            <w:tcBorders>
              <w:bottom w:val="single" w:sz="8" w:color="auto"/>
            </w:tcBorders>
            <w:vMerge w:val="continue"/>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2740" w:type="dxa"/>
            <w:vAlign w:val="bottom"/>
            <w:tcBorders>
              <w:bottom w:val="single" w:sz="8" w:color="CCEEFF"/>
            </w:tcBorders>
            <w:vMerge w:val="continue"/>
            <w:shd w:val="clear" w:color="auto" w:fill="CCEEFF"/>
          </w:tcPr>
          <w:p>
            <w:pPr>
              <w:spacing w:after="0"/>
              <w:rPr>
                <w:sz w:val="4"/>
                <w:szCs w:val="4"/>
                <w:color w:val="auto"/>
              </w:rPr>
            </w:pPr>
          </w:p>
        </w:tc>
        <w:tc>
          <w:tcPr>
            <w:tcW w:w="39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5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300" w:type="dxa"/>
            <w:vAlign w:val="bottom"/>
            <w:gridSpan w:val="3"/>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8,576,902</w:t>
            </w:r>
          </w:p>
        </w:tc>
        <w:tc>
          <w:tcPr>
            <w:tcW w:w="100" w:type="dxa"/>
            <w:vAlign w:val="bottom"/>
          </w:tcPr>
          <w:p>
            <w:pPr>
              <w:spacing w:after="0"/>
              <w:rPr>
                <w:sz w:val="22"/>
                <w:szCs w:val="22"/>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7"/>
        </w:trPr>
        <w:tc>
          <w:tcPr>
            <w:tcW w:w="43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5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6,848,884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6"/>
        </w:trPr>
        <w:tc>
          <w:tcPr>
            <w:tcW w:w="4300" w:type="dxa"/>
            <w:vAlign w:val="bottom"/>
            <w:gridSpan w:val="3"/>
          </w:tcPr>
          <w:p>
            <w:pPr>
              <w:spacing w:after="0" w:line="256" w:lineRule="exact"/>
              <w:rPr>
                <w:sz w:val="20"/>
                <w:szCs w:val="20"/>
                <w:color w:val="auto"/>
              </w:rPr>
            </w:pPr>
            <w:r>
              <w:rPr>
                <w:rFonts w:ascii="Arial" w:cs="Arial" w:eastAsia="Arial" w:hAnsi="Arial"/>
                <w:sz w:val="18"/>
                <w:szCs w:val="18"/>
                <w:color w:val="auto"/>
              </w:rPr>
              <w:t>Robert A. Rucker</w:t>
            </w:r>
            <w:r>
              <w:rPr>
                <w:rFonts w:ascii="Arial" w:cs="Arial" w:eastAsia="Arial" w:hAnsi="Arial"/>
                <w:sz w:val="29"/>
                <w:szCs w:val="29"/>
                <w:color w:val="auto"/>
                <w:vertAlign w:val="superscript"/>
              </w:rPr>
              <w:t>(3)</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5,530,493</w:t>
            </w:r>
          </w:p>
        </w:tc>
        <w:tc>
          <w:tcPr>
            <w:tcW w:w="100" w:type="dxa"/>
            <w:vAlign w:val="bottom"/>
          </w:tcPr>
          <w:p>
            <w:pPr>
              <w:spacing w:after="0"/>
              <w:rPr>
                <w:sz w:val="22"/>
                <w:szCs w:val="22"/>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6"/>
        </w:trPr>
        <w:tc>
          <w:tcPr>
            <w:tcW w:w="43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B. Riley Financial, Inc.</w:t>
            </w:r>
            <w:r>
              <w:rPr>
                <w:rFonts w:ascii="Arial" w:cs="Arial" w:eastAsia="Arial" w:hAnsi="Arial"/>
                <w:sz w:val="29"/>
                <w:szCs w:val="29"/>
                <w:color w:val="auto"/>
                <w:vertAlign w:val="superscript"/>
              </w:rPr>
              <w:t>(4)</w:t>
            </w:r>
          </w:p>
        </w:tc>
        <w:tc>
          <w:tcPr>
            <w:tcW w:w="5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4,144,303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300" w:type="dxa"/>
            <w:vAlign w:val="bottom"/>
            <w:gridSpan w:val="3"/>
          </w:tcPr>
          <w:p>
            <w:pPr>
              <w:spacing w:after="0" w:line="228" w:lineRule="exact"/>
              <w:rPr>
                <w:sz w:val="20"/>
                <w:szCs w:val="20"/>
                <w:color w:val="auto"/>
              </w:rPr>
            </w:pPr>
            <w:r>
              <w:rPr>
                <w:rFonts w:ascii="Arial" w:cs="Arial" w:eastAsia="Arial" w:hAnsi="Arial"/>
                <w:sz w:val="16"/>
                <w:szCs w:val="16"/>
                <w:color w:val="auto"/>
              </w:rPr>
              <w:t>Savitr Capital LLC</w:t>
            </w:r>
            <w:r>
              <w:rPr>
                <w:rFonts w:ascii="Arial" w:cs="Arial" w:eastAsia="Arial" w:hAnsi="Arial"/>
                <w:sz w:val="26"/>
                <w:szCs w:val="26"/>
                <w:color w:val="auto"/>
                <w:vertAlign w:val="superscript"/>
              </w:rPr>
              <w:t>(5)</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2,770,535</w:t>
            </w:r>
          </w:p>
        </w:tc>
        <w:tc>
          <w:tcPr>
            <w:tcW w:w="100" w:type="dxa"/>
            <w:vAlign w:val="bottom"/>
          </w:tcPr>
          <w:p>
            <w:pPr>
              <w:spacing w:after="0"/>
              <w:rPr>
                <w:sz w:val="19"/>
                <w:szCs w:val="19"/>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980" w:type="dxa"/>
            <w:vAlign w:val="bottom"/>
          </w:tcPr>
          <w:p>
            <w:pPr>
              <w:jc w:val="right"/>
              <w:ind w:right="247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53" w:lineRule="exact"/>
        <w:rPr>
          <w:sz w:val="20"/>
          <w:szCs w:val="20"/>
          <w:color w:val="auto"/>
        </w:rPr>
      </w:pPr>
    </w:p>
    <w:p>
      <w:pPr>
        <w:ind w:left="660" w:hanging="607"/>
        <w:spacing w:after="0" w:line="237"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16, 2020 by JWTS, Inc., a Delaware corporation (“JWTS”), Peter J. Jacullo III, and the Katherine D. Jacullo Children’s 1993 Irrevocable Trust (the “Jacullo Trust”), and a Form 4 filed by Mr. Jacullo with the SEC on July 22, 2020. JWTS directly holds 4,441,180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3,676,989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458,733 shares of common stock over which he has sole voting and dispositive power, including 71,900 shares of unvested restricted common stock.</w:t>
      </w:r>
    </w:p>
    <w:p>
      <w:pPr>
        <w:spacing w:after="0" w:line="148" w:lineRule="exact"/>
        <w:rPr>
          <w:rFonts w:ascii="Arial" w:cs="Arial" w:eastAsia="Arial" w:hAnsi="Arial"/>
          <w:sz w:val="17"/>
          <w:szCs w:val="17"/>
          <w:color w:val="auto"/>
        </w:rPr>
      </w:pPr>
    </w:p>
    <w:p>
      <w:pPr>
        <w:ind w:left="660" w:hanging="652"/>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July 22, 2020. Includes (i) 1,694,608 shares of common stock held by the Peter H. Kamin Revocable Trust dated February 2003, of which Peter H. Kamin is the trustee; (ii) 1,033,562 shares of common stock held by the Peter H. Kamin Childrens Trust dated March 1997, of which Mr. Kamin is the trustee; (iii) 97,453 shares of common stock held by the Peter H. Kamin Family Foundation, of which Mr. Kamin is the trustee; (iv) 328,711 shares of common stock held by the Peter H. Kamin GST Trust, of which Mr. Kamin is the trustee; (v) 333,307 shares of common stock held by 3K Limited Partnership, of which Mr. Kamin is the general partner; and (vi) 3,361,243 shares of common stock directly held by Mr. Kamin, including 107,849 shares of unvested restricted common stock. Mr. Kamin has sole voting and dispositive power over the shares.</w:t>
      </w:r>
    </w:p>
    <w:p>
      <w:pPr>
        <w:spacing w:after="0" w:line="138" w:lineRule="exact"/>
        <w:rPr>
          <w:rFonts w:ascii="Arial" w:cs="Arial" w:eastAsia="Arial" w:hAnsi="Arial"/>
          <w:sz w:val="16"/>
          <w:szCs w:val="16"/>
          <w:color w:val="auto"/>
        </w:rPr>
      </w:pPr>
    </w:p>
    <w:p>
      <w:pPr>
        <w:ind w:left="660" w:right="2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27, 2020 by The Tile Shop, Inc. (“TS, Inc.”) and Robert A. Rucker. Includes 5,452,428 shares of common stock held by TS, Inc., 3,380 shares of common stock held by Mr. Rucker’s spouse, 23,660 shares of common stock held by Mr. Rucker as custodian for minor children under the Uniform Gifts to Minors Act, and 51,025 shares held directly by Mr. Rucker. Mr. Rucker holds sole voting and dispositive power over all such securities. Mr. Rucker is the sole officer and member of the board of directors of TS, Inc., holds sole voting and dispositive power over the securities held by TS, Inc., and may be deemed to beneficially own the securities held by TS, Inc. The principal address for TS, Inc. and Mr. Rucker is 15236 Boulder Pt. Rd., Eden Prairie, Minnesota 55347.</w:t>
      </w:r>
    </w:p>
    <w:p>
      <w:pPr>
        <w:spacing w:after="0" w:line="150" w:lineRule="exact"/>
        <w:rPr>
          <w:rFonts w:ascii="Arial" w:cs="Arial" w:eastAsia="Arial" w:hAnsi="Arial"/>
          <w:sz w:val="17"/>
          <w:szCs w:val="17"/>
          <w:color w:val="auto"/>
        </w:rPr>
      </w:pPr>
    </w:p>
    <w:p>
      <w:pPr>
        <w:ind w:left="660" w:right="40" w:hanging="652"/>
        <w:spacing w:after="0" w:line="25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13D/A filed with the SEC on October 15, 2020 by B. Riley Financial, Inc. (“BRF”), B. Riley Capital Management, LLC (“BRCM”), BRC Partners Management GP, LLC (“BRPGP”), BRC Partners Opportunity Fund, LP (“BRPLP”), B. Riley Securities, Inc. (“BRS”) and Bryant R. Riley (collectively, the “B. Riley Reporting Persons”). BRPLP directly holds 2,478,645 shares of common stock, and BRS directly holds 1,623,058 shares of common stock. BRPGP is a subsidiary of BRCM, a registered investment advisor, and is the general partner of BRPLP. BRF is the parent company of BRCM. As a result, BRPGP, BRCM and BRF may be deemed to indirectly beneficially own the shares of common stock held by BRPLP. BRF is the parent company of BRS. As a result, BRF may be deemed to indirectly beneficially own the shares of common stock held by BRS. Mr. Riley may beneficially own 42,600 shares of common stock held as sole trustee of the Robert Antin Children Irrevocable Trust. Mr. Riley disclaims beneficial ownership of the shares held by the Robert Antin Children Irrevocable Trust except to the extent of his pecuniary interest therein. BRF and Mr. Riley, the Co-Chief Executive Officer and Chairman of the Board of Directors of BRF, may be deemed to indirectly beneficially own the shares of common stock held directly by BRPLP or BRS. BRF and Mr. Riley disclaim beneficial ownership of the shares held by BRPLP and BRS except to the extent of its or his pecuniary interest therein. Each of the B. Riley Reporting Persons disclaims beneficial ownership of the securities reported in the Schedule 13D/A except to the extent of such B. Riley Reporting Person’s pecuniary interest therein. Each of BRPLP, BRPGP, BRCM, BRF and Mr. Riley may be deemed to have shared voting and dispositive power over the shares of common stock directly held by BRPLP. Each of BRS, BRF and Mr. Riley may be deemed to have shared voting and dispositive power over the shares of common stock directly held by BRS. Mr. Riley may be deemed to have sole voting and dispositive power over the shares of common stock held by the Robert Antin Children Irrevocable Trust. The business address for the B. Riley Reporting Persons is 11100 Santa Monica Blvd., Suite 800, Los Angeles, California 90025.</w:t>
      </w:r>
    </w:p>
    <w:p>
      <w:pPr>
        <w:spacing w:after="0" w:line="143" w:lineRule="exact"/>
        <w:rPr>
          <w:rFonts w:ascii="Arial" w:cs="Arial" w:eastAsia="Arial" w:hAnsi="Arial"/>
          <w:sz w:val="16"/>
          <w:szCs w:val="16"/>
          <w:color w:val="auto"/>
        </w:rPr>
      </w:pPr>
    </w:p>
    <w:p>
      <w:pPr>
        <w:ind w:left="660" w:right="220" w:hanging="652"/>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147" w:lineRule="exact"/>
        <w:rPr>
          <w:rFonts w:ascii="Arial" w:cs="Arial" w:eastAsia="Arial" w:hAnsi="Arial"/>
          <w:sz w:val="18"/>
          <w:szCs w:val="18"/>
          <w:color w:val="auto"/>
        </w:rPr>
      </w:pPr>
    </w:p>
    <w:p>
      <w:pPr>
        <w:ind w:left="660" w:right="60" w:hanging="652"/>
        <w:spacing w:after="0" w:line="24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BlackRock, Inc. (“BlackRock”) filed a Schedule 13G/A with the SEC on January 31, 2019, reporting that it holds sole voting power over 6,371,225 shares and sole dispositive power over 6,448,065 shares of common stock. While BlackRock did not file an amendment to its Schedule 13G for the year ended December 31, 2019, BlackRock’s Form 13F filed with the SEC on August 14, 2020 did not disclose any holdings of our common stock. The business address of BlackRock is 55 East 52nd Street, New York, New York 10055.</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0220" w:type="dxa"/>
            <w:vAlign w:val="bottom"/>
            <w:gridSpan w:val="11"/>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line="162" w:lineRule="exact"/>
              <w:rPr>
                <w:rFonts w:ascii="Arial" w:cs="Arial" w:eastAsia="Arial" w:hAnsi="Arial"/>
                <w:sz w:val="18"/>
                <w:szCs w:val="18"/>
                <w:b w:val="1"/>
                <w:bCs w:val="1"/>
                <w:u w:val="single" w:color="auto"/>
                <w:color w:val="0563C1"/>
              </w:rPr>
            </w:pPr>
            <w:hyperlink r:id="rId48">
              <w:r>
                <w:rPr>
                  <w:rFonts w:ascii="Arial" w:cs="Arial" w:eastAsia="Arial" w:hAnsi="Arial"/>
                  <w:sz w:val="18"/>
                  <w:szCs w:val="18"/>
                  <w:b w:val="1"/>
                  <w:bCs w:val="1"/>
                  <w:u w:val="single" w:color="auto"/>
                  <w:color w:val="0563C1"/>
                </w:rPr>
                <w:t>3.1</w:t>
              </w:r>
            </w:hyperlink>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20" w:type="dxa"/>
            <w:vAlign w:val="bottom"/>
            <w:gridSpan w:val="11"/>
            <w:shd w:val="clear" w:color="auto" w:fill="CCEEFF"/>
          </w:tcPr>
          <w:p>
            <w:pPr>
              <w:ind w:left="140"/>
              <w:spacing w:after="0" w:line="162" w:lineRule="exact"/>
              <w:rPr>
                <w:rFonts w:ascii="Arial" w:cs="Arial" w:eastAsia="Arial" w:hAnsi="Arial"/>
                <w:sz w:val="18"/>
                <w:szCs w:val="18"/>
                <w:color w:val="0563C1"/>
                <w:w w:val="92"/>
              </w:rPr>
            </w:pPr>
            <w:hyperlink r:id="rId48">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563C1"/>
            </w:tcBorders>
            <w:gridSpan w:val="8"/>
            <w:shd w:val="clear" w:color="auto" w:fill="CCEEFF"/>
          </w:tcPr>
          <w:p>
            <w:pPr>
              <w:spacing w:after="0" w:line="169" w:lineRule="exact"/>
              <w:rPr>
                <w:rFonts w:ascii="Arial" w:cs="Arial" w:eastAsia="Arial" w:hAnsi="Arial"/>
                <w:sz w:val="18"/>
                <w:szCs w:val="18"/>
                <w:color w:val="0563C1"/>
              </w:rPr>
            </w:pPr>
            <w:hyperlink r:id="rId48">
              <w:r>
                <w:rPr>
                  <w:rFonts w:ascii="Arial" w:cs="Arial" w:eastAsia="Arial" w:hAnsi="Arial"/>
                  <w:sz w:val="18"/>
                  <w:szCs w:val="18"/>
                  <w:color w:val="0563C1"/>
                </w:rPr>
                <w:t>on Form S-4 (Reg. No. 333-182482) filed with the Securities and Exchange Commission on July 2, 2012).</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960" w:type="dxa"/>
            <w:vAlign w:val="bottom"/>
            <w:tcBorders>
              <w:right w:val="single" w:sz="8" w:color="0563C1"/>
            </w:tcBorders>
            <w:shd w:val="clear" w:color="auto" w:fill="0563C1"/>
          </w:tcPr>
          <w:p>
            <w:pPr>
              <w:spacing w:after="0"/>
              <w:rPr>
                <w:sz w:val="2"/>
                <w:szCs w:val="2"/>
                <w:color w:val="auto"/>
              </w:rPr>
            </w:pPr>
          </w:p>
        </w:tc>
        <w:tc>
          <w:tcPr>
            <w:tcW w:w="440" w:type="dxa"/>
            <w:vAlign w:val="bottom"/>
            <w:tcBorders>
              <w:left w:val="single" w:sz="8" w:color="0563C1"/>
            </w:tcBorders>
            <w:shd w:val="clear" w:color="auto" w:fill="0563C1"/>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20" w:type="dxa"/>
            <w:vAlign w:val="bottom"/>
            <w:gridSpan w:val="2"/>
          </w:tcPr>
          <w:p>
            <w:pPr>
              <w:ind w:left="20"/>
              <w:spacing w:after="0" w:line="162" w:lineRule="exact"/>
              <w:rPr>
                <w:rFonts w:ascii="Arial" w:cs="Arial" w:eastAsia="Arial" w:hAnsi="Arial"/>
                <w:sz w:val="18"/>
                <w:szCs w:val="18"/>
                <w:b w:val="1"/>
                <w:bCs w:val="1"/>
                <w:u w:val="single" w:color="auto"/>
                <w:color w:val="0563C1"/>
              </w:rPr>
            </w:pPr>
            <w:hyperlink r:id="rId49">
              <w:r>
                <w:rPr>
                  <w:rFonts w:ascii="Arial" w:cs="Arial" w:eastAsia="Arial" w:hAnsi="Arial"/>
                  <w:sz w:val="18"/>
                  <w:szCs w:val="18"/>
                  <w:b w:val="1"/>
                  <w:bCs w:val="1"/>
                  <w:u w:val="single" w:color="auto"/>
                  <w:color w:val="0563C1"/>
                </w:rPr>
                <w:t>3.2</w:t>
              </w:r>
            </w:hyperlink>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20" w:type="dxa"/>
            <w:vAlign w:val="bottom"/>
            <w:gridSpan w:val="11"/>
          </w:tcPr>
          <w:p>
            <w:pPr>
              <w:ind w:left="140"/>
              <w:spacing w:after="0" w:line="162" w:lineRule="exact"/>
              <w:rPr>
                <w:rFonts w:ascii="Arial" w:cs="Arial" w:eastAsia="Arial" w:hAnsi="Arial"/>
                <w:sz w:val="18"/>
                <w:szCs w:val="18"/>
                <w:color w:val="0563C1"/>
                <w:w w:val="91"/>
              </w:rPr>
            </w:pPr>
            <w:hyperlink r:id="rId49">
              <w:r>
                <w:rPr>
                  <w:rFonts w:ascii="Arial" w:cs="Arial" w:eastAsia="Arial" w:hAnsi="Arial"/>
                  <w:sz w:val="18"/>
                  <w:szCs w:val="18"/>
                  <w:color w:val="0563C1"/>
                  <w:w w:val="91"/>
                </w:rPr>
                <w:t>By-Laws of Tile Shop Holdings, Inc. (incorporated by reference to Exhibit 3.2 to the Company’s Registration Statement on Form S-4 (Reg.</w:t>
              </w:r>
            </w:hyperlink>
          </w:p>
        </w:tc>
      </w:tr>
      <w:tr>
        <w:trPr>
          <w:trHeight w:val="169"/>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60" w:type="dxa"/>
            <w:vAlign w:val="bottom"/>
            <w:tcBorders>
              <w:top w:val="single" w:sz="8" w:color="0563C1"/>
            </w:tcBorders>
            <w:gridSpan w:val="9"/>
          </w:tcPr>
          <w:p>
            <w:pPr>
              <w:spacing w:after="0" w:line="169" w:lineRule="exact"/>
              <w:rPr>
                <w:rFonts w:ascii="Arial" w:cs="Arial" w:eastAsia="Arial" w:hAnsi="Arial"/>
                <w:sz w:val="18"/>
                <w:szCs w:val="18"/>
                <w:color w:val="0563C1"/>
              </w:rPr>
            </w:pPr>
            <w:hyperlink r:id="rId49">
              <w:r>
                <w:rPr>
                  <w:rFonts w:ascii="Arial" w:cs="Arial" w:eastAsia="Arial" w:hAnsi="Arial"/>
                  <w:sz w:val="18"/>
                  <w:szCs w:val="18"/>
                  <w:color w:val="0563C1"/>
                </w:rPr>
                <w:t>No. 333-182482) filed with the Securities and Exchange Commission on July 2, 2012).</w:t>
              </w:r>
            </w:hyperlink>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b w:val="1"/>
                <w:bCs w:val="1"/>
                <w:color w:val="0563C1"/>
                <w:w w:val="91"/>
              </w:rPr>
              <w:t>10.</w:t>
            </w:r>
            <w:r>
              <w:rPr>
                <w:rFonts w:ascii="Arial" w:cs="Arial" w:eastAsia="Arial" w:hAnsi="Arial"/>
                <w:sz w:val="18"/>
                <w:szCs w:val="18"/>
                <w:b w:val="1"/>
                <w:bCs w:val="1"/>
                <w:u w:val="single" w:color="auto"/>
                <w:color w:val="0563C1"/>
                <w:w w:val="91"/>
              </w:rPr>
              <w:t>1+*</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20" w:type="dxa"/>
            <w:vAlign w:val="bottom"/>
            <w:gridSpan w:val="11"/>
            <w:shd w:val="clear" w:color="auto" w:fill="CCEEFF"/>
          </w:tcPr>
          <w:p>
            <w:pPr>
              <w:ind w:left="140"/>
              <w:spacing w:after="0" w:line="162" w:lineRule="exact"/>
              <w:rPr>
                <w:sz w:val="20"/>
                <w:szCs w:val="20"/>
                <w:color w:val="auto"/>
              </w:rPr>
            </w:pPr>
            <w:r>
              <w:rPr>
                <w:rFonts w:ascii="Arial" w:cs="Arial" w:eastAsia="Arial" w:hAnsi="Arial"/>
                <w:sz w:val="18"/>
                <w:szCs w:val="18"/>
                <w:color w:val="0563C1"/>
              </w:rPr>
              <w:t>Employment Agreement, dated October 16, 2020, by and between the Tile Shop Holdings, Inc. and Joe Kinder.</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0563C1"/>
          </w:tcPr>
          <w:p>
            <w:pPr>
              <w:spacing w:after="0"/>
              <w:rPr>
                <w:sz w:val="2"/>
                <w:szCs w:val="2"/>
                <w:color w:val="auto"/>
              </w:rPr>
            </w:pPr>
          </w:p>
        </w:tc>
        <w:tc>
          <w:tcPr>
            <w:tcW w:w="100" w:type="dxa"/>
            <w:vAlign w:val="bottom"/>
            <w:shd w:val="clear" w:color="auto" w:fill="0563C1"/>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960" w:type="dxa"/>
            <w:vAlign w:val="bottom"/>
            <w:tcBorders>
              <w:right w:val="single" w:sz="8" w:color="0563C1"/>
            </w:tcBorders>
            <w:shd w:val="clear" w:color="auto" w:fill="0563C1"/>
          </w:tcPr>
          <w:p>
            <w:pPr>
              <w:spacing w:after="0"/>
              <w:rPr>
                <w:sz w:val="2"/>
                <w:szCs w:val="2"/>
                <w:color w:val="auto"/>
              </w:rPr>
            </w:pPr>
          </w:p>
        </w:tc>
        <w:tc>
          <w:tcPr>
            <w:tcW w:w="440" w:type="dxa"/>
            <w:vAlign w:val="bottom"/>
            <w:tcBorders>
              <w:lef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00" w:type="dxa"/>
            <w:vAlign w:val="bottom"/>
            <w:gridSpan w:val="2"/>
          </w:tcPr>
          <w:p>
            <w:pPr>
              <w:spacing w:after="0" w:line="162" w:lineRule="exact"/>
              <w:rPr>
                <w:sz w:val="20"/>
                <w:szCs w:val="20"/>
                <w:color w:val="auto"/>
              </w:rPr>
            </w:pPr>
            <w:r>
              <w:rPr>
                <w:rFonts w:ascii="Arial" w:cs="Arial" w:eastAsia="Arial" w:hAnsi="Arial"/>
                <w:sz w:val="18"/>
                <w:szCs w:val="18"/>
                <w:b w:val="1"/>
                <w:bCs w:val="1"/>
                <w:color w:val="0563C1"/>
              </w:rPr>
              <w:t>31.</w:t>
            </w:r>
            <w:r>
              <w:rPr>
                <w:rFonts w:ascii="Arial" w:cs="Arial" w:eastAsia="Arial" w:hAnsi="Arial"/>
                <w:sz w:val="18"/>
                <w:szCs w:val="18"/>
                <w:b w:val="1"/>
                <w:bCs w:val="1"/>
                <w:u w:val="single" w:color="auto"/>
                <w:color w:val="0563C1"/>
              </w:rPr>
              <w:t>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20" w:type="dxa"/>
            <w:vAlign w:val="bottom"/>
            <w:gridSpan w:val="11"/>
          </w:tcPr>
          <w:p>
            <w:pPr>
              <w:ind w:left="140"/>
              <w:spacing w:after="0" w:line="162" w:lineRule="exact"/>
              <w:rPr>
                <w:sz w:val="20"/>
                <w:szCs w:val="20"/>
                <w:color w:val="auto"/>
              </w:rPr>
            </w:pPr>
            <w:r>
              <w:rPr>
                <w:rFonts w:ascii="Arial" w:cs="Arial" w:eastAsia="Arial" w:hAnsi="Arial"/>
                <w:sz w:val="18"/>
                <w:szCs w:val="18"/>
                <w:color w:val="0563C1"/>
              </w:rPr>
              <w:t>Certification of Chief Executive Officer Pursuant to Section 302 of the Sarbanes Oxley Act of 2002.</w:t>
            </w:r>
          </w:p>
        </w:tc>
      </w:tr>
      <w:tr>
        <w:trPr>
          <w:trHeight w:val="27"/>
        </w:trPr>
        <w:tc>
          <w:tcPr>
            <w:tcW w:w="20" w:type="dxa"/>
            <w:vAlign w:val="bottom"/>
          </w:tcPr>
          <w:p>
            <w:pPr>
              <w:spacing w:after="0"/>
              <w:rPr>
                <w:sz w:val="2"/>
                <w:szCs w:val="2"/>
                <w:color w:val="auto"/>
              </w:rPr>
            </w:pPr>
          </w:p>
        </w:tc>
        <w:tc>
          <w:tcPr>
            <w:tcW w:w="400" w:type="dxa"/>
            <w:vAlign w:val="bottom"/>
            <w:shd w:val="clear" w:color="auto" w:fill="0563C1"/>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960" w:type="dxa"/>
            <w:vAlign w:val="bottom"/>
            <w:tcBorders>
              <w:right w:val="single" w:sz="8" w:color="0563C1"/>
            </w:tcBorders>
            <w:shd w:val="clear" w:color="auto" w:fill="0563C1"/>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b w:val="1"/>
                <w:bCs w:val="1"/>
                <w:color w:val="0563C1"/>
              </w:rPr>
              <w:t>31.</w:t>
            </w:r>
            <w:r>
              <w:rPr>
                <w:rFonts w:ascii="Arial" w:cs="Arial" w:eastAsia="Arial" w:hAnsi="Arial"/>
                <w:sz w:val="18"/>
                <w:szCs w:val="18"/>
                <w:b w:val="1"/>
                <w:bCs w:val="1"/>
                <w:u w:val="single" w:color="auto"/>
                <w:color w:val="0563C1"/>
              </w:rPr>
              <w:t>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20" w:type="dxa"/>
            <w:vAlign w:val="bottom"/>
            <w:gridSpan w:val="11"/>
            <w:shd w:val="clear" w:color="auto" w:fill="CCEEFF"/>
          </w:tcPr>
          <w:p>
            <w:pPr>
              <w:ind w:left="140"/>
              <w:spacing w:after="0" w:line="162" w:lineRule="exact"/>
              <w:rPr>
                <w:sz w:val="20"/>
                <w:szCs w:val="20"/>
                <w:color w:val="auto"/>
              </w:rPr>
            </w:pPr>
            <w:r>
              <w:rPr>
                <w:rFonts w:ascii="Arial" w:cs="Arial" w:eastAsia="Arial" w:hAnsi="Arial"/>
                <w:sz w:val="18"/>
                <w:szCs w:val="18"/>
                <w:color w:val="0563C1"/>
              </w:rPr>
              <w:t>Certification of Chief Financial Officer Pursuant to Section 302 of the Sarbanes Oxley Act of 2002.</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0563C1"/>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960" w:type="dxa"/>
            <w:vAlign w:val="bottom"/>
            <w:tcBorders>
              <w:right w:val="single" w:sz="8" w:color="CCEEFF"/>
            </w:tcBorders>
            <w:shd w:val="clear" w:color="auto" w:fill="0563C1"/>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00" w:type="dxa"/>
            <w:vAlign w:val="bottom"/>
            <w:gridSpan w:val="2"/>
          </w:tcPr>
          <w:p>
            <w:pPr>
              <w:spacing w:after="0" w:line="162" w:lineRule="exact"/>
              <w:rPr>
                <w:sz w:val="20"/>
                <w:szCs w:val="20"/>
                <w:color w:val="auto"/>
              </w:rPr>
            </w:pPr>
            <w:r>
              <w:rPr>
                <w:rFonts w:ascii="Arial" w:cs="Arial" w:eastAsia="Arial" w:hAnsi="Arial"/>
                <w:sz w:val="18"/>
                <w:szCs w:val="18"/>
                <w:b w:val="1"/>
                <w:bCs w:val="1"/>
                <w:color w:val="0563C1"/>
                <w:w w:val="97"/>
              </w:rPr>
              <w:t>32.</w:t>
            </w:r>
            <w:r>
              <w:rPr>
                <w:rFonts w:ascii="Arial" w:cs="Arial" w:eastAsia="Arial" w:hAnsi="Arial"/>
                <w:sz w:val="18"/>
                <w:szCs w:val="18"/>
                <w:b w:val="1"/>
                <w:bCs w:val="1"/>
                <w:u w:val="single" w:color="auto"/>
                <w:color w:val="0563C1"/>
                <w:w w:val="97"/>
              </w:rPr>
              <w:t>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20" w:type="dxa"/>
            <w:vAlign w:val="bottom"/>
            <w:gridSpan w:val="11"/>
          </w:tcPr>
          <w:p>
            <w:pPr>
              <w:ind w:left="140"/>
              <w:spacing w:after="0" w:line="162" w:lineRule="exact"/>
              <w:rPr>
                <w:sz w:val="20"/>
                <w:szCs w:val="20"/>
                <w:color w:val="auto"/>
              </w:rPr>
            </w:pPr>
            <w:r>
              <w:rPr>
                <w:rFonts w:ascii="Arial" w:cs="Arial" w:eastAsia="Arial" w:hAnsi="Arial"/>
                <w:sz w:val="18"/>
                <w:szCs w:val="18"/>
                <w:color w:val="0563C1"/>
              </w:rPr>
              <w:t>Certifications of Chief Executive Officer Pursuant to Section 906 of the Sarbanes Oxley Act of 2002.</w:t>
            </w:r>
          </w:p>
        </w:tc>
      </w:tr>
      <w:tr>
        <w:trPr>
          <w:trHeight w:val="27"/>
        </w:trPr>
        <w:tc>
          <w:tcPr>
            <w:tcW w:w="20" w:type="dxa"/>
            <w:vAlign w:val="bottom"/>
          </w:tcPr>
          <w:p>
            <w:pPr>
              <w:spacing w:after="0"/>
              <w:rPr>
                <w:sz w:val="2"/>
                <w:szCs w:val="2"/>
                <w:color w:val="auto"/>
              </w:rPr>
            </w:pPr>
          </w:p>
        </w:tc>
        <w:tc>
          <w:tcPr>
            <w:tcW w:w="400" w:type="dxa"/>
            <w:vAlign w:val="bottom"/>
            <w:shd w:val="clear" w:color="auto" w:fill="0563C1"/>
          </w:tcPr>
          <w:p>
            <w:pPr>
              <w:spacing w:after="0"/>
              <w:rPr>
                <w:sz w:val="2"/>
                <w:szCs w:val="2"/>
                <w:color w:val="auto"/>
              </w:rPr>
            </w:pPr>
          </w:p>
        </w:tc>
        <w:tc>
          <w:tcPr>
            <w:tcW w:w="100" w:type="dxa"/>
            <w:vAlign w:val="bottom"/>
            <w:shd w:val="clear" w:color="auto" w:fill="0563C1"/>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960" w:type="dxa"/>
            <w:vAlign w:val="bottom"/>
            <w:tcBorders>
              <w:right w:val="single" w:sz="8" w:color="0563C1"/>
            </w:tcBorders>
            <w:shd w:val="clear" w:color="auto" w:fill="0563C1"/>
          </w:tcPr>
          <w:p>
            <w:pPr>
              <w:spacing w:after="0"/>
              <w:rPr>
                <w:sz w:val="2"/>
                <w:szCs w:val="2"/>
                <w:color w:val="auto"/>
              </w:rPr>
            </w:pPr>
          </w:p>
        </w:tc>
        <w:tc>
          <w:tcPr>
            <w:tcW w:w="440" w:type="dxa"/>
            <w:vAlign w:val="bottom"/>
            <w:tcBorders>
              <w:left w:val="single" w:sz="8" w:color="0563C1"/>
            </w:tcBorders>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b w:val="1"/>
                <w:bCs w:val="1"/>
                <w:color w:val="0563C1"/>
                <w:w w:val="97"/>
              </w:rPr>
              <w:t>32.</w:t>
            </w:r>
            <w:r>
              <w:rPr>
                <w:rFonts w:ascii="Arial" w:cs="Arial" w:eastAsia="Arial" w:hAnsi="Arial"/>
                <w:sz w:val="18"/>
                <w:szCs w:val="18"/>
                <w:b w:val="1"/>
                <w:bCs w:val="1"/>
                <w:u w:val="single" w:color="auto"/>
                <w:color w:val="0563C1"/>
                <w:w w:val="97"/>
              </w:rPr>
              <w:t>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20" w:type="dxa"/>
            <w:vAlign w:val="bottom"/>
            <w:gridSpan w:val="11"/>
            <w:shd w:val="clear" w:color="auto" w:fill="CCEEFF"/>
          </w:tcPr>
          <w:p>
            <w:pPr>
              <w:ind w:left="140"/>
              <w:spacing w:after="0" w:line="162" w:lineRule="exact"/>
              <w:rPr>
                <w:sz w:val="20"/>
                <w:szCs w:val="20"/>
                <w:color w:val="auto"/>
              </w:rPr>
            </w:pPr>
            <w:r>
              <w:rPr>
                <w:rFonts w:ascii="Arial" w:cs="Arial" w:eastAsia="Arial" w:hAnsi="Arial"/>
                <w:sz w:val="18"/>
                <w:szCs w:val="18"/>
                <w:color w:val="0563C1"/>
              </w:rPr>
              <w:t>Certifications of Chief Financial Officer Pursuant to Section 906 of the Sarbanes Oxley Act of 2002.</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0563C1"/>
          </w:tcPr>
          <w:p>
            <w:pPr>
              <w:spacing w:after="0"/>
              <w:rPr>
                <w:sz w:val="2"/>
                <w:szCs w:val="2"/>
                <w:color w:val="auto"/>
              </w:rPr>
            </w:pPr>
          </w:p>
        </w:tc>
        <w:tc>
          <w:tcPr>
            <w:tcW w:w="100" w:type="dxa"/>
            <w:vAlign w:val="bottom"/>
            <w:shd w:val="clear" w:color="auto" w:fill="0563C1"/>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shd w:val="clear" w:color="auto" w:fill="0563C1"/>
          </w:tcPr>
          <w:p>
            <w:pPr>
              <w:spacing w:after="0"/>
              <w:rPr>
                <w:sz w:val="2"/>
                <w:szCs w:val="2"/>
                <w:color w:val="auto"/>
              </w:rPr>
            </w:pPr>
          </w:p>
        </w:tc>
        <w:tc>
          <w:tcPr>
            <w:tcW w:w="960" w:type="dxa"/>
            <w:vAlign w:val="bottom"/>
            <w:tcBorders>
              <w:right w:val="single" w:sz="8" w:color="0563C1"/>
            </w:tcBorders>
            <w:shd w:val="clear" w:color="auto" w:fill="0563C1"/>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line="162" w:lineRule="exact"/>
              <w:rPr>
                <w:rFonts w:ascii="Arial" w:cs="Arial" w:eastAsia="Arial" w:hAnsi="Arial"/>
                <w:sz w:val="18"/>
                <w:szCs w:val="18"/>
                <w:b w:val="1"/>
                <w:bCs w:val="1"/>
                <w:u w:val="single" w:color="auto"/>
                <w:color w:val="0563C1"/>
              </w:rPr>
            </w:pPr>
            <w:hyperlink r:id="rId50">
              <w:r>
                <w:rPr>
                  <w:rFonts w:ascii="Arial" w:cs="Arial" w:eastAsia="Arial" w:hAnsi="Arial"/>
                  <w:sz w:val="18"/>
                  <w:szCs w:val="18"/>
                  <w:b w:val="1"/>
                  <w:bCs w:val="1"/>
                  <w:u w:val="single" w:color="auto"/>
                  <w:color w:val="0563C1"/>
                </w:rPr>
                <w:t>99.1</w:t>
              </w:r>
            </w:hyperlink>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20" w:type="dxa"/>
            <w:vAlign w:val="bottom"/>
            <w:gridSpan w:val="11"/>
          </w:tcPr>
          <w:p>
            <w:pPr>
              <w:ind w:left="140"/>
              <w:spacing w:after="0" w:line="162" w:lineRule="exact"/>
              <w:rPr>
                <w:rFonts w:ascii="Arial" w:cs="Arial" w:eastAsia="Arial" w:hAnsi="Arial"/>
                <w:sz w:val="18"/>
                <w:szCs w:val="18"/>
                <w:color w:val="0563C1"/>
                <w:w w:val="92"/>
              </w:rPr>
            </w:pPr>
            <w:hyperlink r:id="rId50">
              <w:r>
                <w:rPr>
                  <w:rFonts w:ascii="Arial" w:cs="Arial" w:eastAsia="Arial" w:hAnsi="Arial"/>
                  <w:sz w:val="18"/>
                  <w:szCs w:val="18"/>
                  <w:color w:val="0563C1"/>
                  <w:w w:val="92"/>
                </w:rPr>
                <w:t>Stipulation of Settlement, dated August 7, 2020 (incorporated by reference to Exhibit 99.1 to the Company’s Current Report on Form 8-K</w:t>
              </w:r>
            </w:hyperlink>
          </w:p>
        </w:tc>
      </w:tr>
      <w:tr>
        <w:trPr>
          <w:trHeight w:val="169"/>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60" w:type="dxa"/>
            <w:vAlign w:val="bottom"/>
            <w:tcBorders>
              <w:top w:val="single" w:sz="8" w:color="0563C1"/>
            </w:tcBorders>
            <w:gridSpan w:val="7"/>
          </w:tcPr>
          <w:p>
            <w:pPr>
              <w:spacing w:after="0" w:line="169" w:lineRule="exact"/>
              <w:rPr>
                <w:rFonts w:ascii="Arial" w:cs="Arial" w:eastAsia="Arial" w:hAnsi="Arial"/>
                <w:sz w:val="18"/>
                <w:szCs w:val="18"/>
                <w:color w:val="0563C1"/>
              </w:rPr>
            </w:pPr>
            <w:hyperlink r:id="rId50">
              <w:r>
                <w:rPr>
                  <w:rFonts w:ascii="Arial" w:cs="Arial" w:eastAsia="Arial" w:hAnsi="Arial"/>
                  <w:sz w:val="18"/>
                  <w:szCs w:val="18"/>
                  <w:color w:val="0563C1"/>
                </w:rPr>
                <w:t>filed with the Securities and Exchange Commission on August 7, 2020).</w:t>
              </w:r>
            </w:hyperlink>
          </w:p>
        </w:tc>
        <w:tc>
          <w:tcPr>
            <w:tcW w:w="120" w:type="dxa"/>
            <w:vAlign w:val="bottom"/>
            <w:gridSpan w:val="3"/>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563C1"/>
          </w:tcPr>
          <w:p>
            <w:pPr>
              <w:spacing w:after="0"/>
              <w:rPr>
                <w:sz w:val="2"/>
                <w:szCs w:val="2"/>
                <w:color w:val="auto"/>
              </w:rPr>
            </w:pPr>
          </w:p>
        </w:tc>
        <w:tc>
          <w:tcPr>
            <w:tcW w:w="4320" w:type="dxa"/>
            <w:vAlign w:val="bottom"/>
            <w:shd w:val="clear" w:color="auto" w:fill="0563C1"/>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4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20" w:type="dxa"/>
            <w:vAlign w:val="bottom"/>
            <w:gridSpan w:val="11"/>
            <w:shd w:val="clear" w:color="auto" w:fill="CCEEFF"/>
          </w:tcPr>
          <w:p>
            <w:pPr>
              <w:ind w:left="140"/>
              <w:spacing w:after="0" w:line="161" w:lineRule="exact"/>
              <w:rPr>
                <w:sz w:val="20"/>
                <w:szCs w:val="20"/>
                <w:color w:val="auto"/>
              </w:rPr>
            </w:pPr>
            <w:r>
              <w:rPr>
                <w:rFonts w:ascii="Arial" w:cs="Arial" w:eastAsia="Arial" w:hAnsi="Arial"/>
                <w:sz w:val="18"/>
                <w:szCs w:val="18"/>
                <w:color w:val="auto"/>
                <w:w w:val="94"/>
              </w:rPr>
              <w:t>The following financial statements from the Quarterly Report on Form 10-Q for the quarter ended September 30, 2020 are formatted in</w:t>
            </w: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20" w:type="dxa"/>
            <w:vAlign w:val="bottom"/>
            <w:gridSpan w:val="11"/>
            <w:shd w:val="clear" w:color="auto" w:fill="CCEEFF"/>
          </w:tcPr>
          <w:p>
            <w:pPr>
              <w:ind w:left="140"/>
              <w:spacing w:after="0" w:line="189" w:lineRule="exact"/>
              <w:rPr>
                <w:sz w:val="20"/>
                <w:szCs w:val="20"/>
                <w:color w:val="auto"/>
              </w:rPr>
            </w:pPr>
            <w:r>
              <w:rPr>
                <w:rFonts w:ascii="Arial" w:cs="Arial" w:eastAsia="Arial" w:hAnsi="Arial"/>
                <w:sz w:val="18"/>
                <w:szCs w:val="18"/>
                <w:color w:val="auto"/>
                <w:w w:val="91"/>
              </w:rPr>
              <w:t>iXBRL (Inline eXtensible Business Reporting Language): (i) Consolidated Balance Sheets, (ii) Consolidated Statements of Operations, (iii)</w:t>
            </w: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20" w:type="dxa"/>
            <w:vAlign w:val="bottom"/>
            <w:gridSpan w:val="11"/>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Consolidated Statements of Comprehensive Income (Loss), (iv) Consolidated Statements of Stockholders' Equity, (v) Consolidated</w:t>
            </w:r>
          </w:p>
        </w:tc>
      </w:tr>
      <w:tr>
        <w:trPr>
          <w:trHeight w:val="217"/>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20" w:type="dxa"/>
            <w:vAlign w:val="bottom"/>
            <w:gridSpan w:val="11"/>
            <w:shd w:val="clear" w:color="auto" w:fill="CCEEFF"/>
          </w:tcPr>
          <w:p>
            <w:pPr>
              <w:ind w:left="140"/>
              <w:spacing w:after="0"/>
              <w:rPr>
                <w:sz w:val="20"/>
                <w:szCs w:val="20"/>
                <w:color w:val="auto"/>
              </w:rPr>
            </w:pPr>
            <w:r>
              <w:rPr>
                <w:rFonts w:ascii="Arial" w:cs="Arial" w:eastAsia="Arial" w:hAnsi="Arial"/>
                <w:sz w:val="18"/>
                <w:szCs w:val="18"/>
                <w:color w:val="auto"/>
              </w:rPr>
              <w:t>Statements of Cash Flows, and (vi) the Notes to Consolidated Financial Statements.</w:t>
            </w:r>
          </w:p>
        </w:tc>
      </w:tr>
      <w:tr>
        <w:trPr>
          <w:trHeight w:val="234"/>
        </w:trPr>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20" w:type="dxa"/>
            <w:vAlign w:val="bottom"/>
            <w:gridSpan w:val="11"/>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16" w:lineRule="exact"/>
        <w:rPr>
          <w:sz w:val="20"/>
          <w:szCs w:val="20"/>
          <w:color w:val="auto"/>
        </w:rPr>
      </w:pPr>
    </w:p>
    <w:p>
      <w:pPr>
        <w:ind w:right="7600" w:firstLine="8"/>
        <w:spacing w:after="0" w:line="228" w:lineRule="auto"/>
        <w:tabs>
          <w:tab w:leader="none" w:pos="146"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18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Dated: November 9, 2020</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CABELL H. LOLMAUGH</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700" w:type="dxa"/>
            <w:vAlign w:val="bottom"/>
          </w:tcPr>
          <w:p>
            <w:pPr>
              <w:spacing w:after="0"/>
              <w:rPr>
                <w:sz w:val="20"/>
                <w:szCs w:val="20"/>
                <w:color w:val="auto"/>
              </w:rPr>
            </w:pPr>
            <w:r>
              <w:rPr>
                <w:rFonts w:ascii="Arial" w:cs="Arial" w:eastAsia="Arial" w:hAnsi="Arial"/>
                <w:sz w:val="18"/>
                <w:szCs w:val="18"/>
                <w:color w:val="auto"/>
              </w:rPr>
              <w:t>Dated: November 9, 2020</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NANCY DIMATTIA</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Nancy DiMattia</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78"/>
        </w:trPr>
        <w:tc>
          <w:tcPr>
            <w:tcW w:w="3700" w:type="dxa"/>
            <w:vAlign w:val="bottom"/>
          </w:tcPr>
          <w:p>
            <w:pPr>
              <w:spacing w:after="0"/>
              <w:rPr>
                <w:sz w:val="24"/>
                <w:szCs w:val="24"/>
                <w:color w:val="auto"/>
              </w:rPr>
            </w:pP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10.1</w:t>
      </w:r>
    </w:p>
    <w:p>
      <w:pPr>
        <w:spacing w:after="0" w:line="274" w:lineRule="exact"/>
        <w:rPr>
          <w:sz w:val="20"/>
          <w:szCs w:val="20"/>
          <w:color w:val="auto"/>
        </w:rPr>
      </w:pPr>
    </w:p>
    <w:p>
      <w:pPr>
        <w:ind w:left="5760"/>
        <w:spacing w:after="0"/>
        <w:rPr>
          <w:sz w:val="20"/>
          <w:szCs w:val="20"/>
          <w:color w:val="auto"/>
        </w:rPr>
      </w:pPr>
      <w:r>
        <w:rPr>
          <w:rFonts w:ascii="Arial" w:cs="Arial" w:eastAsia="Arial" w:hAnsi="Arial"/>
          <w:sz w:val="20"/>
          <w:szCs w:val="20"/>
          <w:b w:val="1"/>
          <w:bCs w:val="1"/>
          <w:color w:val="auto"/>
        </w:rPr>
        <w:t>Jamie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188595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885950" cy="334645"/>
                    </a:xfrm>
                    <a:prstGeom prst="rect">
                      <a:avLst/>
                    </a:prstGeom>
                    <a:noFill/>
                  </pic:spPr>
                </pic:pic>
              </a:graphicData>
            </a:graphic>
          </wp:anchor>
        </w:drawing>
      </w:r>
    </w:p>
    <w:p>
      <w:pPr>
        <w:ind w:left="5760"/>
        <w:spacing w:after="0" w:line="197" w:lineRule="auto"/>
        <w:rPr>
          <w:sz w:val="20"/>
          <w:szCs w:val="20"/>
          <w:color w:val="auto"/>
        </w:rPr>
      </w:pPr>
      <w:r>
        <w:rPr>
          <w:rFonts w:ascii="Arial" w:cs="Arial" w:eastAsia="Arial" w:hAnsi="Arial"/>
          <w:sz w:val="20"/>
          <w:szCs w:val="20"/>
          <w:b w:val="1"/>
          <w:bCs w:val="1"/>
          <w:color w:val="auto"/>
        </w:rPr>
        <w:t>Director of Talent Acquisition</w:t>
      </w:r>
    </w:p>
    <w:p>
      <w:pPr>
        <w:ind w:left="5760"/>
        <w:spacing w:after="0" w:line="197" w:lineRule="auto"/>
        <w:rPr>
          <w:sz w:val="20"/>
          <w:szCs w:val="20"/>
          <w:color w:val="auto"/>
        </w:rPr>
      </w:pPr>
      <w:r>
        <w:rPr>
          <w:rFonts w:ascii="Arial" w:cs="Arial" w:eastAsia="Arial" w:hAnsi="Arial"/>
          <w:sz w:val="20"/>
          <w:szCs w:val="20"/>
          <w:b w:val="1"/>
          <w:bCs w:val="1"/>
          <w:color w:val="auto"/>
        </w:rPr>
        <w:t>The Tile Shop</w:t>
      </w:r>
    </w:p>
    <w:p>
      <w:pPr>
        <w:ind w:left="5760"/>
        <w:spacing w:after="0" w:line="197" w:lineRule="auto"/>
        <w:rPr>
          <w:sz w:val="20"/>
          <w:szCs w:val="20"/>
          <w:color w:val="auto"/>
        </w:rPr>
      </w:pPr>
      <w:r>
        <w:rPr>
          <w:rFonts w:ascii="Arial" w:cs="Arial" w:eastAsia="Arial" w:hAnsi="Arial"/>
          <w:sz w:val="20"/>
          <w:szCs w:val="20"/>
          <w:color w:val="auto"/>
        </w:rPr>
        <w:t>Phone: 952-797-4349</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E-mail</w:t>
      </w:r>
      <w:r>
        <w:rPr>
          <w:rFonts w:ascii="Arial" w:cs="Arial" w:eastAsia="Arial" w:hAnsi="Arial"/>
          <w:sz w:val="20"/>
          <w:szCs w:val="20"/>
          <w:b w:val="1"/>
          <w:bCs w:val="1"/>
          <w:color w:val="auto"/>
        </w:rPr>
        <w:t>:</w:t>
      </w:r>
      <w:r>
        <w:rPr>
          <w:rFonts w:ascii="Arial" w:cs="Arial" w:eastAsia="Arial" w:hAnsi="Arial"/>
          <w:sz w:val="20"/>
          <w:szCs w:val="20"/>
          <w:color w:val="auto"/>
        </w:rPr>
        <w:t xml:space="preserve"> Jamie.elliott@tileshop.com</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Offer of Employment: 07/21/2020</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Joe Kinder</w:t>
      </w:r>
    </w:p>
    <w:p>
      <w:pPr>
        <w:spacing w:after="0"/>
        <w:rPr>
          <w:sz w:val="20"/>
          <w:szCs w:val="20"/>
          <w:color w:val="auto"/>
        </w:rPr>
      </w:pPr>
      <w:r>
        <w:rPr>
          <w:rFonts w:ascii="Arial" w:cs="Arial" w:eastAsia="Arial" w:hAnsi="Arial"/>
          <w:sz w:val="20"/>
          <w:szCs w:val="20"/>
          <w:b w:val="1"/>
          <w:bCs w:val="1"/>
          <w:color w:val="auto"/>
        </w:rPr>
        <w:t>Watertown, MN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Dear Joe,</w:t>
      </w:r>
    </w:p>
    <w:p>
      <w:pPr>
        <w:spacing w:after="0" w:line="148" w:lineRule="exact"/>
        <w:rPr>
          <w:sz w:val="20"/>
          <w:szCs w:val="20"/>
          <w:color w:val="auto"/>
        </w:rPr>
      </w:pPr>
    </w:p>
    <w:p>
      <w:pPr>
        <w:ind w:right="60"/>
        <w:spacing w:after="0" w:line="230" w:lineRule="auto"/>
        <w:rPr>
          <w:sz w:val="20"/>
          <w:szCs w:val="20"/>
          <w:color w:val="auto"/>
        </w:rPr>
      </w:pPr>
      <w:r>
        <w:rPr>
          <w:rFonts w:ascii="Arial" w:cs="Arial" w:eastAsia="Arial" w:hAnsi="Arial"/>
          <w:sz w:val="19"/>
          <w:szCs w:val="19"/>
          <w:color w:val="auto"/>
        </w:rPr>
        <w:t xml:space="preserve">Congratulations! I am pleased to extend this letter to you as a formal offer of promotion with The Tile Shop Corporate Headquarters. The position being offered is that of </w:t>
      </w:r>
      <w:r>
        <w:rPr>
          <w:rFonts w:ascii="Arial" w:cs="Arial" w:eastAsia="Arial" w:hAnsi="Arial"/>
          <w:sz w:val="19"/>
          <w:szCs w:val="19"/>
          <w:b w:val="1"/>
          <w:bCs w:val="1"/>
          <w:i w:val="1"/>
          <w:iCs w:val="1"/>
          <w:color w:val="auto"/>
        </w:rPr>
        <w:t>Senior Vice President of Supply Chain &amp; Distribution.</w:t>
      </w:r>
      <w:r>
        <w:rPr>
          <w:rFonts w:ascii="Arial" w:cs="Arial" w:eastAsia="Arial" w:hAnsi="Arial"/>
          <w:sz w:val="19"/>
          <w:szCs w:val="19"/>
          <w:color w:val="auto"/>
        </w:rPr>
        <w:t xml:space="preserve"> This position is a named executive officer of the company and will be reporting directly to the President &amp; CEO.</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Specifically, this offer of employment includes the following:</w:t>
      </w:r>
    </w:p>
    <w:p>
      <w:pPr>
        <w:spacing w:after="0" w:line="148" w:lineRule="exact"/>
        <w:rPr>
          <w:sz w:val="20"/>
          <w:szCs w:val="20"/>
          <w:color w:val="auto"/>
        </w:rPr>
      </w:pPr>
    </w:p>
    <w:p>
      <w:pPr>
        <w:ind w:left="640" w:hanging="32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20"/>
          <w:szCs w:val="20"/>
          <w:color w:val="auto"/>
        </w:rPr>
        <w:t>You will be paid an annual salary of $218,000.</w:t>
      </w:r>
    </w:p>
    <w:p>
      <w:pPr>
        <w:spacing w:after="0" w:line="67" w:lineRule="exact"/>
        <w:rPr>
          <w:rFonts w:ascii="Arial" w:cs="Arial" w:eastAsia="Arial" w:hAnsi="Arial"/>
          <w:sz w:val="18"/>
          <w:szCs w:val="18"/>
          <w:color w:val="auto"/>
        </w:rPr>
      </w:pPr>
    </w:p>
    <w:p>
      <w:pPr>
        <w:ind w:left="640" w:right="460" w:hanging="320"/>
        <w:spacing w:after="0" w:line="218"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20"/>
          <w:szCs w:val="20"/>
          <w:color w:val="auto"/>
        </w:rPr>
        <w:t>Eligible to participate in the Company's corporate bonus program. Under this plan, you will have a target bonus opportunity of 40% of your annual salary based on the Company's performance. More details surrounding the corporate bonus plan are attached.</w:t>
      </w:r>
    </w:p>
    <w:p>
      <w:pPr>
        <w:spacing w:after="0" w:line="48" w:lineRule="exact"/>
        <w:rPr>
          <w:rFonts w:ascii="Arial" w:cs="Arial" w:eastAsia="Arial" w:hAnsi="Arial"/>
          <w:sz w:val="18"/>
          <w:szCs w:val="18"/>
          <w:color w:val="auto"/>
        </w:rPr>
      </w:pPr>
    </w:p>
    <w:p>
      <w:pPr>
        <w:ind w:left="640" w:right="680" w:hanging="320"/>
        <w:spacing w:after="0" w:line="22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20"/>
          <w:szCs w:val="20"/>
          <w:color w:val="auto"/>
        </w:rPr>
        <w:t>Relocation from Alabama to Minnesota per The Tile Shop Relocation Policy. Relocation contract and details surrounding the policy are attached.</w:t>
      </w:r>
    </w:p>
    <w:p>
      <w:pPr>
        <w:spacing w:after="0" w:line="47" w:lineRule="exact"/>
        <w:rPr>
          <w:rFonts w:ascii="Arial" w:cs="Arial" w:eastAsia="Arial" w:hAnsi="Arial"/>
          <w:sz w:val="18"/>
          <w:szCs w:val="18"/>
          <w:color w:val="auto"/>
        </w:rPr>
      </w:pPr>
    </w:p>
    <w:p>
      <w:pPr>
        <w:ind w:left="640" w:hanging="32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20"/>
          <w:szCs w:val="20"/>
          <w:color w:val="auto"/>
        </w:rPr>
        <w:t>Paid Time Off per the attached Corporate Policy, along with 7 paid Holidays.</w:t>
      </w:r>
    </w:p>
    <w:p>
      <w:pPr>
        <w:spacing w:after="0" w:line="67" w:lineRule="exact"/>
        <w:rPr>
          <w:rFonts w:ascii="Arial" w:cs="Arial" w:eastAsia="Arial" w:hAnsi="Arial"/>
          <w:sz w:val="18"/>
          <w:szCs w:val="18"/>
          <w:color w:val="auto"/>
        </w:rPr>
      </w:pPr>
    </w:p>
    <w:p>
      <w:pPr>
        <w:ind w:left="640" w:right="340" w:hanging="320"/>
        <w:spacing w:after="0" w:line="269"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8"/>
          <w:szCs w:val="18"/>
          <w:color w:val="auto"/>
        </w:rPr>
        <w:t>You will be qualified on the first day of the month, following sixty (60) days of employment, to participate in the standard benefits program in effect for employees, including medical, dental, life, and accident insurance.</w:t>
      </w:r>
    </w:p>
    <w:p>
      <w:pPr>
        <w:spacing w:after="0" w:line="22" w:lineRule="exact"/>
        <w:rPr>
          <w:rFonts w:ascii="Arial" w:cs="Arial" w:eastAsia="Arial" w:hAnsi="Arial"/>
          <w:sz w:val="16"/>
          <w:szCs w:val="16"/>
          <w:color w:val="auto"/>
        </w:rPr>
      </w:pPr>
    </w:p>
    <w:p>
      <w:pPr>
        <w:ind w:left="640" w:hanging="32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20"/>
          <w:szCs w:val="20"/>
          <w:color w:val="auto"/>
        </w:rPr>
        <w:t>401(k) Retirement Savings Plan.</w:t>
      </w:r>
    </w:p>
    <w:p>
      <w:pPr>
        <w:spacing w:after="0" w:line="67" w:lineRule="exact"/>
        <w:rPr>
          <w:rFonts w:ascii="Arial" w:cs="Arial" w:eastAsia="Arial" w:hAnsi="Arial"/>
          <w:sz w:val="18"/>
          <w:szCs w:val="18"/>
          <w:color w:val="auto"/>
        </w:rPr>
      </w:pPr>
    </w:p>
    <w:p>
      <w:pPr>
        <w:ind w:left="640" w:hanging="32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20"/>
          <w:szCs w:val="20"/>
          <w:color w:val="auto"/>
        </w:rPr>
        <w:t>Change of Control:</w:t>
      </w:r>
    </w:p>
    <w:p>
      <w:pPr>
        <w:spacing w:after="0" w:line="175" w:lineRule="exact"/>
        <w:rPr>
          <w:sz w:val="20"/>
          <w:szCs w:val="20"/>
          <w:color w:val="auto"/>
        </w:rPr>
      </w:pPr>
    </w:p>
    <w:p>
      <w:pPr>
        <w:ind w:left="1300" w:right="60" w:hanging="8"/>
        <w:spacing w:after="0" w:line="242" w:lineRule="auto"/>
        <w:tabs>
          <w:tab w:leader="none" w:pos="1624"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the event of a Change of Control of the Company, if (1) you are not offered employment or continued employment by the Successor Entity upon consummation of such Change of Control, or</w:t>
      </w:r>
    </w:p>
    <w:p>
      <w:pPr>
        <w:spacing w:after="0" w:line="45" w:lineRule="exact"/>
        <w:rPr>
          <w:sz w:val="20"/>
          <w:szCs w:val="20"/>
          <w:color w:val="auto"/>
        </w:rPr>
      </w:pPr>
    </w:p>
    <w:p>
      <w:pPr>
        <w:ind w:left="1300" w:right="40" w:hanging="8"/>
        <w:spacing w:after="0" w:line="275" w:lineRule="auto"/>
        <w:tabs>
          <w:tab w:leader="none" w:pos="1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prior to the first anniversary of such Change of Control, (a) you are discharged by the Successor Entity other than for Cause or (b) you resign from employment with the Successor Entity as a result of a Constructive Termination (as defined below), all of your unvested restricted stock award grants will vest and become exercisable immediately prior to such Change of Control or cessation of employment, as applicable.</w:t>
      </w:r>
    </w:p>
    <w:p>
      <w:pPr>
        <w:spacing w:after="0" w:line="21" w:lineRule="exact"/>
        <w:rPr>
          <w:sz w:val="20"/>
          <w:szCs w:val="20"/>
          <w:color w:val="auto"/>
        </w:rPr>
      </w:pPr>
    </w:p>
    <w:p>
      <w:pPr>
        <w:ind w:left="1300" w:right="200" w:hanging="8"/>
        <w:spacing w:after="0" w:line="224" w:lineRule="auto"/>
        <w:tabs>
          <w:tab w:leader="none" w:pos="1613" w:val="left"/>
        </w:tabs>
        <w:numPr>
          <w:ilvl w:val="0"/>
          <w:numId w:val="12"/>
        </w:numPr>
        <w:rPr>
          <w:rFonts w:ascii="Arial" w:cs="Arial" w:eastAsia="Arial" w:hAnsi="Arial"/>
          <w:sz w:val="19"/>
          <w:szCs w:val="19"/>
          <w:color w:val="auto"/>
        </w:rPr>
      </w:pPr>
      <w:r>
        <w:rPr>
          <w:rFonts w:ascii="Arial" w:cs="Arial" w:eastAsia="Arial" w:hAnsi="Arial"/>
          <w:sz w:val="19"/>
          <w:szCs w:val="19"/>
          <w:color w:val="auto"/>
        </w:rPr>
        <w:t>“Constructive Termination” will occur if you resign from your employment with the Successor Entity within 30 days following (1) a material reduction in your annual base salary or job responsibility or (2) the relocation of your principal office location to a facility or location located more than 50 miles from your principal office location on the date of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632650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98" w:right="979" w:bottom="1440" w:gutter="0" w:footer="0" w:header="0"/>
        </w:sectPr>
      </w:pPr>
    </w:p>
    <w:bookmarkStart w:id="35" w:name="page36"/>
    <w:bookmarkEnd w:id="35"/>
    <w:p>
      <w:pPr>
        <w:ind w:left="980" w:right="20" w:hanging="8"/>
        <w:spacing w:after="0" w:line="223" w:lineRule="auto"/>
        <w:tabs>
          <w:tab w:leader="none" w:pos="1343"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you are terminated without Severance Cause (as defined below) or resign for Good Reason (as defined below) due to a Change of Control, you will be entitled to receive an amount equal to your then-current base salary for a six-month period commencing with the effective date of your termination of employment with the Company (the “Severance Period”). The foregoing amount will be payable pro rate over the Severance Period in accordance with the Company’s normal payroll practices; provided, however, that the Company will not pay any severance payments unless and until (a) you execute and deliver to the Company a general release (b) such Release is executed and delivered to the Company within 21 days after your termination date and (c) all time periods for revoking the Release have lapsed. If you are terminated during the month of December of any calendar year and are owed severance hereunder, no severance payments will be made prior to January 1st of the next calendar year and any amount that would have otherwise been payable to you in December of the preceding calendar year will be paid to you on the first date in January on which you would otherwise be entitled to any payment. Following your termination date, all benefits offered by the Company, including health insurance benefits, will cease. From and after such date, you may elect to continue your participation in the Company’s health insurance benefits at your expense pursuant to COBRA by notifying the Company in the time specified in the COBRA notice you will be provided and paying the monthly premium yourself.</w:t>
      </w:r>
    </w:p>
    <w:p>
      <w:pPr>
        <w:spacing w:after="0" w:line="56" w:lineRule="exact"/>
        <w:rPr>
          <w:rFonts w:ascii="Arial" w:cs="Arial" w:eastAsia="Arial" w:hAnsi="Arial"/>
          <w:sz w:val="18"/>
          <w:szCs w:val="18"/>
          <w:color w:val="auto"/>
        </w:rPr>
      </w:pPr>
    </w:p>
    <w:p>
      <w:pPr>
        <w:ind w:left="980" w:right="20" w:hanging="8"/>
        <w:spacing w:after="0" w:line="216" w:lineRule="auto"/>
        <w:tabs>
          <w:tab w:leader="none" w:pos="1304" w:val="left"/>
        </w:tabs>
        <w:numPr>
          <w:ilvl w:val="1"/>
          <w:numId w:val="13"/>
        </w:numPr>
        <w:rPr>
          <w:rFonts w:ascii="Arial" w:cs="Arial" w:eastAsia="Arial" w:hAnsi="Arial"/>
          <w:sz w:val="19"/>
          <w:szCs w:val="19"/>
          <w:color w:val="auto"/>
        </w:rPr>
      </w:pPr>
      <w:r>
        <w:rPr>
          <w:rFonts w:ascii="Arial" w:cs="Arial" w:eastAsia="Arial" w:hAnsi="Arial"/>
          <w:sz w:val="19"/>
          <w:szCs w:val="19"/>
          <w:color w:val="auto"/>
        </w:rPr>
        <w:t>“Severance Cause” means (1) willful misconduct in connection with your employment or willful failure to perform your responsibilities in the best interests of the Company, as determined by the CFO; (2) conviction of, or plea of nolo contendre or guilty to, a felony other than an act involving a traffic related infraction; (3) any act of fraud, theft, embezzlement or other material dishonesty by you that harmed the Company; (4) intentional violation of a federal or state law or regulation applicable to the Company’s business, which violation was or is reasonably likely to be injurious to the Company; or (5) repeated failure to perform your duties and obligations of your position with the Company, which failure is not cured within 30 days after notice of such failure from the CFO to you.</w:t>
      </w:r>
    </w:p>
    <w:p>
      <w:pPr>
        <w:spacing w:after="0" w:line="46" w:lineRule="exact"/>
        <w:rPr>
          <w:rFonts w:ascii="Arial" w:cs="Arial" w:eastAsia="Arial" w:hAnsi="Arial"/>
          <w:sz w:val="19"/>
          <w:szCs w:val="19"/>
          <w:color w:val="auto"/>
        </w:rPr>
      </w:pPr>
    </w:p>
    <w:p>
      <w:pPr>
        <w:ind w:left="980" w:hanging="8"/>
        <w:spacing w:after="0" w:line="213" w:lineRule="auto"/>
        <w:tabs>
          <w:tab w:leader="none" w:pos="1331" w:val="left"/>
        </w:tabs>
        <w:numPr>
          <w:ilvl w:val="1"/>
          <w:numId w:val="13"/>
        </w:numPr>
        <w:rPr>
          <w:rFonts w:ascii="Arial" w:cs="Arial" w:eastAsia="Arial" w:hAnsi="Arial"/>
          <w:sz w:val="20"/>
          <w:szCs w:val="20"/>
          <w:color w:val="auto"/>
        </w:rPr>
      </w:pPr>
      <w:r>
        <w:rPr>
          <w:rFonts w:ascii="Arial" w:cs="Arial" w:eastAsia="Arial" w:hAnsi="Arial"/>
          <w:sz w:val="20"/>
          <w:szCs w:val="20"/>
          <w:color w:val="auto"/>
        </w:rPr>
        <w:t>“Good Reason” for your resignation will exist if you resign from your employment with the Company as a result of (1) a material reduction in your annual base salary or job responsibility or (2) the relocation of your principal office location to a facility or location located more than 50 miles from your current principal office location.</w:t>
      </w:r>
    </w:p>
    <w:p>
      <w:pPr>
        <w:spacing w:after="0" w:line="47" w:lineRule="exact"/>
        <w:rPr>
          <w:rFonts w:ascii="Arial" w:cs="Arial" w:eastAsia="Arial" w:hAnsi="Arial"/>
          <w:sz w:val="20"/>
          <w:szCs w:val="20"/>
          <w:color w:val="auto"/>
        </w:rPr>
      </w:pPr>
    </w:p>
    <w:p>
      <w:pPr>
        <w:jc w:val="both"/>
        <w:ind w:left="320" w:right="240" w:hanging="320"/>
        <w:spacing w:after="0" w:line="218"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This offer is contingent upon review by our corporate office and successful completion of our reference checking process, including but not limited to a background investigation, drug screen, personal references, and prior work history.</w:t>
      </w:r>
    </w:p>
    <w:p>
      <w:pPr>
        <w:spacing w:after="0" w:line="48" w:lineRule="exact"/>
        <w:rPr>
          <w:rFonts w:ascii="Arial" w:cs="Arial" w:eastAsia="Arial" w:hAnsi="Arial"/>
          <w:sz w:val="18"/>
          <w:szCs w:val="18"/>
          <w:color w:val="auto"/>
        </w:rPr>
      </w:pPr>
    </w:p>
    <w:p>
      <w:pPr>
        <w:ind w:left="320" w:right="120" w:hanging="320"/>
        <w:spacing w:after="0" w:line="218"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20"/>
          <w:szCs w:val="20"/>
          <w:color w:val="auto"/>
        </w:rPr>
        <w:t>As a Senior VP, you will be required, as a condition of your employment with The Tile Shop, to sign a Nondisclosure, Confidentiality, Assignment and Noncompetition Agreement, a copy of which is attached hereto as Exhibit A (the "Non-Competition and Non-Disclosure Agreement").</w:t>
      </w:r>
    </w:p>
    <w:p>
      <w:pPr>
        <w:spacing w:after="0" w:line="48" w:lineRule="exact"/>
        <w:rPr>
          <w:rFonts w:ascii="Arial" w:cs="Arial" w:eastAsia="Arial" w:hAnsi="Arial"/>
          <w:sz w:val="18"/>
          <w:szCs w:val="18"/>
          <w:color w:val="auto"/>
        </w:rPr>
      </w:pPr>
    </w:p>
    <w:p>
      <w:pPr>
        <w:ind w:left="320" w:hanging="320"/>
        <w:spacing w:after="0" w:line="21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20"/>
          <w:szCs w:val="20"/>
          <w:color w:val="auto"/>
        </w:rPr>
        <w:t>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186690</wp:posOffset>
            </wp:positionV>
            <wp:extent cx="632650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540"/>
          </w:cols>
          <w:pgMar w:left="1300" w:top="108" w:right="1059" w:bottom="1440" w:gutter="0" w:footer="0" w:header="0"/>
        </w:sectPr>
      </w:pPr>
    </w:p>
    <w:bookmarkStart w:id="36" w:name="page37"/>
    <w:bookmarkEnd w:id="36"/>
    <w:p>
      <w:pPr>
        <w:ind w:right="220"/>
        <w:spacing w:after="0" w:line="230" w:lineRule="auto"/>
        <w:rPr>
          <w:sz w:val="20"/>
          <w:szCs w:val="20"/>
          <w:color w:val="auto"/>
        </w:rPr>
      </w:pPr>
      <w:r>
        <w:rPr>
          <w:rFonts w:ascii="Arial" w:cs="Arial" w:eastAsia="Arial" w:hAnsi="Arial"/>
          <w:sz w:val="20"/>
          <w:szCs w:val="20"/>
          <w:color w:val="auto"/>
        </w:rPr>
        <w:t>The Company reserves the right to make changes to the corporate bonus plan and other benefits outlined in the letter above and attached.</w:t>
      </w:r>
    </w:p>
    <w:p>
      <w:pPr>
        <w:spacing w:after="0" w:line="12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Joe, we hope you decide to accept this promotion at The Tile Shop Corporate Headquarters. We are confident that your skills and abilities will be a tremendous asset to our team and that you will be afforded opportunities to learn and advance your career with us. We recognize that you retain the option, as does the company, of ending your employment at any time, with or without notice and with or without cause. As such, your employment with The Tile Shop is at-will, and neither this letter nor any other oral or written representations may be considered a contract for any period of time. If you accept the offer of employment, please sign below. If you have any questions, please do not hesitate to contact Jamie Elliott at 952-797-4349. We would love you to start your Corporate Career at The Tile Shop on July 31st, 2020, at 8:00am.</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97" w:lineRule="auto"/>
        <w:rPr>
          <w:sz w:val="20"/>
          <w:szCs w:val="20"/>
          <w:color w:val="auto"/>
        </w:rPr>
      </w:pPr>
      <w:r>
        <w:rPr>
          <w:rFonts w:ascii="Arial" w:cs="Arial" w:eastAsia="Arial" w:hAnsi="Arial"/>
          <w:sz w:val="20"/>
          <w:szCs w:val="20"/>
          <w:u w:val="single" w:color="auto"/>
          <w:color w:val="auto"/>
        </w:rPr>
        <w:t>/s/ Cabell Lolmaugh</w:t>
      </w:r>
    </w:p>
    <w:p>
      <w:pPr>
        <w:spacing w:after="0" w:line="197" w:lineRule="auto"/>
        <w:rPr>
          <w:sz w:val="20"/>
          <w:szCs w:val="20"/>
          <w:color w:val="auto"/>
        </w:rPr>
      </w:pPr>
      <w:r>
        <w:rPr>
          <w:rFonts w:ascii="Arial" w:cs="Arial" w:eastAsia="Arial" w:hAnsi="Arial"/>
          <w:sz w:val="20"/>
          <w:szCs w:val="20"/>
          <w:color w:val="auto"/>
        </w:rPr>
        <w:t>Cabell Lolmaugh</w:t>
      </w:r>
    </w:p>
    <w:p>
      <w:pPr>
        <w:spacing w:after="0" w:line="197" w:lineRule="auto"/>
        <w:rPr>
          <w:sz w:val="20"/>
          <w:szCs w:val="20"/>
          <w:color w:val="auto"/>
        </w:rPr>
      </w:pPr>
      <w:r>
        <w:rPr>
          <w:rFonts w:ascii="Arial" w:cs="Arial" w:eastAsia="Arial" w:hAnsi="Arial"/>
          <w:sz w:val="20"/>
          <w:szCs w:val="20"/>
          <w:color w:val="auto"/>
        </w:rPr>
        <w:t>President &amp; CEO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Tile Shop</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I accept the offer of employment under the terms and conditions listed above.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20"/>
                <w:szCs w:val="20"/>
                <w:color w:val="auto"/>
              </w:rPr>
              <w:t>/s/ Joseph Kinder</w:t>
            </w:r>
          </w:p>
        </w:tc>
        <w:tc>
          <w:tcPr>
            <w:tcW w:w="4340" w:type="dxa"/>
            <w:vAlign w:val="bottom"/>
            <w:gridSpan w:val="2"/>
          </w:tcPr>
          <w:p>
            <w:pPr>
              <w:spacing w:after="0"/>
              <w:rPr>
                <w:sz w:val="20"/>
                <w:szCs w:val="20"/>
                <w:color w:val="auto"/>
              </w:rPr>
            </w:pPr>
            <w:r>
              <w:rPr>
                <w:rFonts w:ascii="Arial" w:cs="Arial" w:eastAsia="Arial" w:hAnsi="Arial"/>
                <w:sz w:val="20"/>
                <w:szCs w:val="20"/>
                <w:color w:val="auto"/>
              </w:rPr>
              <w:t>October 16, 2020</w:t>
            </w:r>
          </w:p>
        </w:tc>
      </w:tr>
      <w:tr>
        <w:trPr>
          <w:trHeight w:val="244"/>
        </w:trPr>
        <w:tc>
          <w:tcPr>
            <w:tcW w:w="1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Name</w:t>
            </w:r>
          </w:p>
        </w:tc>
        <w:tc>
          <w:tcPr>
            <w:tcW w:w="4260" w:type="dxa"/>
            <w:vAlign w:val="bottom"/>
          </w:tcPr>
          <w:p>
            <w:pPr>
              <w:spacing w:after="0"/>
              <w:rPr>
                <w:sz w:val="21"/>
                <w:szCs w:val="21"/>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Date</w:t>
            </w:r>
          </w:p>
        </w:tc>
        <w:tc>
          <w:tcPr>
            <w:tcW w:w="2960" w:type="dxa"/>
            <w:vAlign w:val="bottom"/>
          </w:tcPr>
          <w:p>
            <w:pPr>
              <w:spacing w:after="0"/>
              <w:rPr>
                <w:sz w:val="21"/>
                <w:szCs w:val="21"/>
                <w:color w:val="auto"/>
              </w:rPr>
            </w:pPr>
          </w:p>
        </w:tc>
      </w:tr>
      <w:tr>
        <w:trPr>
          <w:trHeight w:val="641"/>
        </w:trPr>
        <w:tc>
          <w:tcPr>
            <w:tcW w:w="13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r>
        <w:trPr>
          <w:trHeight w:val="20"/>
        </w:trPr>
        <w:tc>
          <w:tcPr>
            <w:tcW w:w="1360" w:type="dxa"/>
            <w:vAlign w:val="bottom"/>
            <w:tcBorders>
              <w:bottom w:val="single" w:sz="8" w:color="EEEEEE"/>
            </w:tcBorders>
          </w:tcPr>
          <w:p>
            <w:pPr>
              <w:spacing w:after="0" w:line="20" w:lineRule="exact"/>
              <w:rPr>
                <w:sz w:val="1"/>
                <w:szCs w:val="1"/>
                <w:color w:val="auto"/>
              </w:rPr>
            </w:pPr>
          </w:p>
        </w:tc>
        <w:tc>
          <w:tcPr>
            <w:tcW w:w="42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825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ectPr>
          <w:pgSz w:w="11900" w:h="16838" w:orient="portrait"/>
          <w:cols w:equalWidth="0" w:num="1">
            <w:col w:w="9960"/>
          </w:cols>
          <w:pgMar w:left="980" w:top="108" w:right="95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0C0C0C"/>
        </w:rPr>
        <w:t>EXHIBIT A</w:t>
      </w:r>
    </w:p>
    <w:p>
      <w:pPr>
        <w:spacing w:after="0" w:line="148" w:lineRule="exact"/>
        <w:rPr>
          <w:sz w:val="20"/>
          <w:szCs w:val="20"/>
          <w:color w:val="auto"/>
        </w:rPr>
      </w:pPr>
    </w:p>
    <w:p>
      <w:pPr>
        <w:ind w:left="3624"/>
        <w:spacing w:after="0"/>
        <w:rPr>
          <w:sz w:val="20"/>
          <w:szCs w:val="20"/>
          <w:color w:val="auto"/>
        </w:rPr>
      </w:pPr>
      <w:r>
        <w:rPr>
          <w:rFonts w:ascii="Arial" w:cs="Arial" w:eastAsia="Arial" w:hAnsi="Arial"/>
          <w:sz w:val="20"/>
          <w:szCs w:val="20"/>
          <w:b w:val="1"/>
          <w:bCs w:val="1"/>
          <w:color w:val="0C0C0C"/>
        </w:rPr>
        <w:t>TILE SHOP HOLDINGS, INC.</w:t>
      </w:r>
    </w:p>
    <w:p>
      <w:pPr>
        <w:spacing w:after="0" w:line="129" w:lineRule="exact"/>
        <w:rPr>
          <w:sz w:val="20"/>
          <w:szCs w:val="20"/>
          <w:color w:val="auto"/>
        </w:rPr>
      </w:pPr>
    </w:p>
    <w:p>
      <w:pPr>
        <w:ind w:left="2164"/>
        <w:spacing w:after="0"/>
        <w:rPr>
          <w:sz w:val="20"/>
          <w:szCs w:val="20"/>
          <w:color w:val="auto"/>
        </w:rPr>
      </w:pPr>
      <w:r>
        <w:rPr>
          <w:rFonts w:ascii="Arial" w:cs="Arial" w:eastAsia="Arial" w:hAnsi="Arial"/>
          <w:sz w:val="20"/>
          <w:szCs w:val="20"/>
          <w:b w:val="1"/>
          <w:bCs w:val="1"/>
          <w:color w:val="0C0C0C"/>
        </w:rPr>
        <w:t>NONDISCLOSURE, CONFIDENTIALITY, ASSIGNMENT AND</w:t>
      </w:r>
    </w:p>
    <w:p>
      <w:pPr>
        <w:jc w:val="center"/>
        <w:ind w:right="-3"/>
        <w:spacing w:after="0"/>
        <w:rPr>
          <w:sz w:val="20"/>
          <w:szCs w:val="20"/>
          <w:color w:val="auto"/>
        </w:rPr>
      </w:pPr>
      <w:r>
        <w:rPr>
          <w:rFonts w:ascii="Arial" w:cs="Arial" w:eastAsia="Arial" w:hAnsi="Arial"/>
          <w:sz w:val="20"/>
          <w:szCs w:val="20"/>
          <w:b w:val="1"/>
          <w:bCs w:val="1"/>
          <w:color w:val="0C0C0C"/>
        </w:rPr>
        <w:t>NONCOMPETITION AGREEMENT</w:t>
      </w:r>
    </w:p>
    <w:p>
      <w:pPr>
        <w:spacing w:after="0" w:line="132" w:lineRule="exact"/>
        <w:rPr>
          <w:sz w:val="20"/>
          <w:szCs w:val="20"/>
          <w:color w:val="auto"/>
        </w:rPr>
      </w:pPr>
    </w:p>
    <w:p>
      <w:pPr>
        <w:ind w:left="4" w:right="20" w:firstLine="648"/>
        <w:spacing w:after="0" w:line="213" w:lineRule="auto"/>
        <w:rPr>
          <w:sz w:val="20"/>
          <w:szCs w:val="20"/>
          <w:color w:val="auto"/>
        </w:rPr>
      </w:pPr>
      <w:r>
        <w:rPr>
          <w:rFonts w:ascii="Arial" w:cs="Arial" w:eastAsia="Arial" w:hAnsi="Arial"/>
          <w:sz w:val="19"/>
          <w:szCs w:val="19"/>
          <w:color w:val="auto"/>
        </w:rPr>
        <w:t xml:space="preserve">THIS NONDISCLOSURE, CONFIDENTIALITY, ASSIGNMENT AND NONCOMPETITION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made this 31st day of July</w:t>
      </w:r>
      <w:r>
        <w:rPr>
          <w:rFonts w:ascii="Arial" w:cs="Arial" w:eastAsia="Arial" w:hAnsi="Arial"/>
          <w:sz w:val="19"/>
          <w:szCs w:val="19"/>
          <w:color w:val="2B2B2B"/>
        </w:rPr>
        <w:t>, 2020</w:t>
      </w:r>
      <w:r>
        <w:rPr>
          <w:rFonts w:ascii="Arial" w:cs="Arial" w:eastAsia="Arial" w:hAnsi="Arial"/>
          <w:sz w:val="19"/>
          <w:szCs w:val="19"/>
          <w:color w:val="auto"/>
        </w:rPr>
        <w:t>, by and between Tile Shop Holdings, Inc.</w:t>
      </w:r>
      <w:r>
        <w:rPr>
          <w:rFonts w:ascii="Arial" w:cs="Arial" w:eastAsia="Arial" w:hAnsi="Arial"/>
          <w:sz w:val="19"/>
          <w:szCs w:val="19"/>
          <w:color w:val="2B2B2B"/>
        </w:rPr>
        <w:t>,</w:t>
      </w:r>
      <w:r>
        <w:rPr>
          <w:rFonts w:ascii="Arial" w:cs="Arial" w:eastAsia="Arial" w:hAnsi="Arial"/>
          <w:sz w:val="19"/>
          <w:szCs w:val="19"/>
          <w:color w:val="auto"/>
        </w:rPr>
        <w:t xml:space="preserve"> a Delaware corporation (collectively with any </w:t>
      </w:r>
      <w:r>
        <w:rPr>
          <w:rFonts w:ascii="Arial" w:cs="Arial" w:eastAsia="Arial" w:hAnsi="Arial"/>
          <w:sz w:val="19"/>
          <w:szCs w:val="19"/>
          <w:color w:val="0C0C0C"/>
        </w:rPr>
        <w:t>predecessors, successors, and assignees, the</w:t>
      </w:r>
      <w:r>
        <w:rPr>
          <w:rFonts w:ascii="Arial" w:cs="Arial" w:eastAsia="Arial" w:hAnsi="Arial"/>
          <w:sz w:val="19"/>
          <w:szCs w:val="19"/>
          <w:color w:val="auto"/>
        </w:rPr>
        <w:t xml:space="preserve"> </w:t>
      </w:r>
      <w:r>
        <w:rPr>
          <w:rFonts w:ascii="Arial" w:cs="Arial" w:eastAsia="Arial" w:hAnsi="Arial"/>
          <w:sz w:val="19"/>
          <w:szCs w:val="19"/>
          <w:color w:val="2B2B2B"/>
        </w:rPr>
        <w:t>"</w:t>
      </w:r>
      <w:r>
        <w:rPr>
          <w:rFonts w:ascii="Arial" w:cs="Arial" w:eastAsia="Arial" w:hAnsi="Arial"/>
          <w:sz w:val="19"/>
          <w:szCs w:val="19"/>
          <w:u w:val="single" w:color="auto"/>
          <w:color w:val="0C0C0C"/>
        </w:rPr>
        <w:t>Company"),</w:t>
      </w:r>
      <w:r>
        <w:rPr>
          <w:rFonts w:ascii="Arial" w:cs="Arial" w:eastAsia="Arial" w:hAnsi="Arial"/>
          <w:sz w:val="19"/>
          <w:szCs w:val="19"/>
          <w:color w:val="auto"/>
        </w:rPr>
        <w:t xml:space="preserve"> </w:t>
      </w:r>
      <w:r>
        <w:rPr>
          <w:rFonts w:ascii="Arial" w:cs="Arial" w:eastAsia="Arial" w:hAnsi="Arial"/>
          <w:sz w:val="19"/>
          <w:szCs w:val="19"/>
          <w:color w:val="0C0C0C"/>
        </w:rPr>
        <w:t>and Joe Kinder (“I” or</w:t>
      </w:r>
    </w:p>
    <w:p>
      <w:pPr>
        <w:spacing w:after="0" w:line="1" w:lineRule="exact"/>
        <w:rPr>
          <w:sz w:val="20"/>
          <w:szCs w:val="20"/>
          <w:color w:val="auto"/>
        </w:rPr>
      </w:pPr>
    </w:p>
    <w:p>
      <w:pPr>
        <w:ind w:left="184" w:hanging="184"/>
        <w:spacing w:after="0"/>
        <w:tabs>
          <w:tab w:leader="none" w:pos="184" w:val="left"/>
        </w:tabs>
        <w:numPr>
          <w:ilvl w:val="0"/>
          <w:numId w:val="14"/>
        </w:numPr>
        <w:rPr>
          <w:rFonts w:ascii="Arial" w:cs="Arial" w:eastAsia="Arial" w:hAnsi="Arial"/>
          <w:sz w:val="20"/>
          <w:szCs w:val="20"/>
          <w:u w:val="single" w:color="auto"/>
          <w:color w:val="0C0C0C"/>
        </w:rPr>
      </w:pPr>
      <w:r>
        <w:rPr>
          <w:rFonts w:ascii="Arial" w:cs="Arial" w:eastAsia="Arial" w:hAnsi="Arial"/>
          <w:sz w:val="20"/>
          <w:szCs w:val="20"/>
          <w:u w:val="single" w:color="auto"/>
          <w:color w:val="0C0C0C"/>
        </w:rPr>
        <w:t>me")</w:t>
      </w:r>
      <w:r>
        <w:rPr>
          <w:rFonts w:ascii="Arial" w:cs="Arial" w:eastAsia="Arial" w:hAnsi="Arial"/>
          <w:sz w:val="20"/>
          <w:szCs w:val="20"/>
          <w:color w:val="2B2B2B"/>
        </w:rPr>
        <w:t>,</w:t>
      </w:r>
      <w:r>
        <w:rPr>
          <w:rFonts w:ascii="Arial" w:cs="Arial" w:eastAsia="Arial" w:hAnsi="Arial"/>
          <w:sz w:val="20"/>
          <w:szCs w:val="20"/>
          <w:color w:val="0C0C0C"/>
        </w:rPr>
        <w:t xml:space="preserve"> to be effective on July 31, 2020</w:t>
      </w:r>
      <w:r>
        <w:rPr>
          <w:rFonts w:ascii="Arial" w:cs="Arial" w:eastAsia="Arial" w:hAnsi="Arial"/>
          <w:sz w:val="20"/>
          <w:szCs w:val="20"/>
          <w:color w:val="2B2B2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-127635</wp:posOffset>
            </wp:positionV>
            <wp:extent cx="514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1435" cy="26035"/>
                    </a:xfrm>
                    <a:prstGeom prst="rect">
                      <a:avLst/>
                    </a:prstGeom>
                    <a:noFill/>
                  </pic:spPr>
                </pic:pic>
              </a:graphicData>
            </a:graphic>
          </wp:anchor>
        </w:drawing>
      </w:r>
    </w:p>
    <w:p>
      <w:pPr>
        <w:spacing w:after="0" w:line="87" w:lineRule="exact"/>
        <w:rPr>
          <w:sz w:val="20"/>
          <w:szCs w:val="20"/>
          <w:color w:val="auto"/>
        </w:rPr>
      </w:pPr>
    </w:p>
    <w:p>
      <w:pPr>
        <w:ind w:left="644"/>
        <w:spacing w:after="0"/>
        <w:rPr>
          <w:sz w:val="20"/>
          <w:szCs w:val="20"/>
          <w:color w:val="auto"/>
        </w:rPr>
      </w:pPr>
      <w:r>
        <w:rPr>
          <w:rFonts w:ascii="Arial" w:cs="Arial" w:eastAsia="Arial" w:hAnsi="Arial"/>
          <w:sz w:val="20"/>
          <w:szCs w:val="20"/>
          <w:color w:val="0C0C0C"/>
        </w:rPr>
        <w:t>In consideration of my engagement or continued engagement as an officer</w:t>
      </w:r>
      <w:r>
        <w:rPr>
          <w:rFonts w:ascii="Arial" w:cs="Arial" w:eastAsia="Arial" w:hAnsi="Arial"/>
          <w:sz w:val="20"/>
          <w:szCs w:val="20"/>
          <w:color w:val="2B2B2B"/>
        </w:rPr>
        <w:t>,</w:t>
      </w:r>
      <w:r>
        <w:rPr>
          <w:rFonts w:ascii="Arial" w:cs="Arial" w:eastAsia="Arial" w:hAnsi="Arial"/>
          <w:sz w:val="20"/>
          <w:szCs w:val="20"/>
          <w:color w:val="0C0C0C"/>
        </w:rPr>
        <w:t xml:space="preserve"> employee,</w:t>
      </w:r>
    </w:p>
    <w:p>
      <w:pPr>
        <w:ind w:left="4" w:right="460"/>
        <w:spacing w:after="0" w:line="232" w:lineRule="auto"/>
        <w:rPr>
          <w:sz w:val="20"/>
          <w:szCs w:val="20"/>
          <w:color w:val="auto"/>
        </w:rPr>
      </w:pPr>
      <w:r>
        <w:rPr>
          <w:rFonts w:ascii="Arial" w:cs="Arial" w:eastAsia="Arial" w:hAnsi="Arial"/>
          <w:sz w:val="19"/>
          <w:szCs w:val="19"/>
          <w:color w:val="0C0C0C"/>
        </w:rPr>
        <w:t xml:space="preserve">director, advisor, partner, </w:t>
      </w:r>
      <w:r>
        <w:rPr>
          <w:rFonts w:ascii="Arial" w:cs="Arial" w:eastAsia="Arial" w:hAnsi="Arial"/>
          <w:sz w:val="19"/>
          <w:szCs w:val="19"/>
          <w:color w:val="000000"/>
        </w:rPr>
        <w:t>independent</w:t>
      </w:r>
      <w:r>
        <w:rPr>
          <w:rFonts w:ascii="Arial" w:cs="Arial" w:eastAsia="Arial" w:hAnsi="Arial"/>
          <w:sz w:val="19"/>
          <w:szCs w:val="19"/>
          <w:color w:val="0C0C0C"/>
        </w:rPr>
        <w:t xml:space="preserve"> contractor or consultant of the Company (an </w:t>
      </w:r>
      <w:r>
        <w:rPr>
          <w:rFonts w:ascii="Arial" w:cs="Arial" w:eastAsia="Arial" w:hAnsi="Arial"/>
          <w:sz w:val="19"/>
          <w:szCs w:val="19"/>
          <w:u w:val="single" w:color="auto"/>
          <w:color w:val="0C0C0C"/>
        </w:rPr>
        <w:t>"Associate</w:t>
      </w:r>
      <w:r>
        <w:rPr>
          <w:rFonts w:ascii="Arial" w:cs="Arial" w:eastAsia="Arial" w:hAnsi="Arial"/>
          <w:sz w:val="19"/>
          <w:szCs w:val="19"/>
          <w:color w:val="2B2B2B"/>
        </w:rPr>
        <w:t>"</w:t>
      </w:r>
      <w:r>
        <w:rPr>
          <w:rFonts w:ascii="Arial" w:cs="Arial" w:eastAsia="Arial" w:hAnsi="Arial"/>
          <w:sz w:val="19"/>
          <w:szCs w:val="19"/>
          <w:color w:val="0C0C0C"/>
        </w:rPr>
        <w:t>)</w:t>
      </w:r>
      <w:r>
        <w:rPr>
          <w:rFonts w:ascii="Arial" w:cs="Arial" w:eastAsia="Arial" w:hAnsi="Arial"/>
          <w:sz w:val="19"/>
          <w:szCs w:val="19"/>
          <w:color w:val="2B2B2B"/>
        </w:rPr>
        <w:t>,</w:t>
      </w:r>
      <w:r>
        <w:rPr>
          <w:rFonts w:ascii="Arial" w:cs="Arial" w:eastAsia="Arial" w:hAnsi="Arial"/>
          <w:sz w:val="19"/>
          <w:szCs w:val="19"/>
          <w:color w:val="0C0C0C"/>
        </w:rPr>
        <w:t xml:space="preserve"> and for other valuable consideration, the receipt and sufficiency of which is hereby acknowledged, I hereby agree as </w:t>
      </w:r>
      <w:r>
        <w:rPr>
          <w:rFonts w:ascii="Arial" w:cs="Arial" w:eastAsia="Arial" w:hAnsi="Arial"/>
          <w:sz w:val="19"/>
          <w:szCs w:val="19"/>
          <w:color w:val="0C0C0C"/>
          <w:shd w:val="clear" w:color="auto" w:fill="2B2B2B"/>
        </w:rPr>
        <w:t>follows:</w:t>
      </w:r>
    </w:p>
    <w:p>
      <w:pPr>
        <w:spacing w:after="0" w:line="129"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20"/>
          <w:szCs w:val="20"/>
          <w:color w:val="0C0C0C"/>
        </w:rPr>
        <w:t>1.</w:t>
      </w:r>
      <w:r>
        <w:rPr>
          <w:sz w:val="20"/>
          <w:szCs w:val="20"/>
          <w:color w:val="auto"/>
        </w:rPr>
        <w:tab/>
      </w:r>
      <w:r>
        <w:rPr>
          <w:rFonts w:ascii="Arial" w:cs="Arial" w:eastAsia="Arial" w:hAnsi="Arial"/>
          <w:sz w:val="19"/>
          <w:szCs w:val="19"/>
          <w:color w:val="0C0C0C"/>
        </w:rPr>
        <w:t>DEFINITIONS</w:t>
      </w:r>
      <w:r>
        <w:rPr>
          <w:rFonts w:ascii="Arial" w:cs="Arial" w:eastAsia="Arial" w:hAnsi="Arial"/>
          <w:sz w:val="19"/>
          <w:szCs w:val="19"/>
          <w:color w:val="2B2B2B"/>
        </w:rPr>
        <w:t>.</w:t>
      </w:r>
    </w:p>
    <w:p>
      <w:pPr>
        <w:spacing w:after="0" w:line="148" w:lineRule="exact"/>
        <w:rPr>
          <w:sz w:val="20"/>
          <w:szCs w:val="20"/>
          <w:color w:val="auto"/>
        </w:rPr>
      </w:pPr>
    </w:p>
    <w:p>
      <w:pPr>
        <w:ind w:left="644"/>
        <w:spacing w:after="0"/>
        <w:tabs>
          <w:tab w:leader="none" w:pos="1124" w:val="left"/>
        </w:tabs>
        <w:rPr>
          <w:sz w:val="20"/>
          <w:szCs w:val="20"/>
          <w:color w:val="auto"/>
        </w:rPr>
      </w:pPr>
      <w:r>
        <w:rPr>
          <w:rFonts w:ascii="Arial" w:cs="Arial" w:eastAsia="Arial" w:hAnsi="Arial"/>
          <w:sz w:val="20"/>
          <w:szCs w:val="20"/>
          <w:color w:val="0C0C0C"/>
        </w:rPr>
        <w:t>1.1.</w:t>
      </w:r>
      <w:r>
        <w:rPr>
          <w:sz w:val="20"/>
          <w:szCs w:val="20"/>
          <w:color w:val="auto"/>
        </w:rPr>
        <w:tab/>
      </w:r>
      <w:r>
        <w:rPr>
          <w:rFonts w:ascii="Arial" w:cs="Arial" w:eastAsia="Arial" w:hAnsi="Arial"/>
          <w:sz w:val="18"/>
          <w:szCs w:val="18"/>
          <w:u w:val="single" w:color="auto"/>
          <w:color w:val="0C0C0C"/>
        </w:rPr>
        <w:t xml:space="preserve">"Affiliate" </w:t>
      </w:r>
      <w:r>
        <w:rPr>
          <w:rFonts w:ascii="Arial" w:cs="Arial" w:eastAsia="Arial" w:hAnsi="Arial"/>
          <w:sz w:val="18"/>
          <w:szCs w:val="18"/>
          <w:color w:val="0C0C0C"/>
        </w:rPr>
        <w:t>means any direct or</w:t>
      </w:r>
      <w:r>
        <w:rPr>
          <w:rFonts w:ascii="Arial" w:cs="Arial" w:eastAsia="Arial" w:hAnsi="Arial"/>
          <w:sz w:val="18"/>
          <w:szCs w:val="18"/>
          <w:u w:val="single" w:color="auto"/>
          <w:color w:val="0C0C0C"/>
        </w:rPr>
        <w:t xml:space="preserve"> </w:t>
      </w:r>
      <w:r>
        <w:rPr>
          <w:rFonts w:ascii="Arial" w:cs="Arial" w:eastAsia="Arial" w:hAnsi="Arial"/>
          <w:sz w:val="18"/>
          <w:szCs w:val="18"/>
          <w:color w:val="000000"/>
        </w:rPr>
        <w:t>indirect</w:t>
      </w:r>
      <w:r>
        <w:rPr>
          <w:rFonts w:ascii="Arial" w:cs="Arial" w:eastAsia="Arial" w:hAnsi="Arial"/>
          <w:sz w:val="18"/>
          <w:szCs w:val="18"/>
          <w:u w:val="single" w:color="auto"/>
          <w:color w:val="0C0C0C"/>
        </w:rPr>
        <w:t xml:space="preserve"> </w:t>
      </w:r>
      <w:r>
        <w:rPr>
          <w:rFonts w:ascii="Arial" w:cs="Arial" w:eastAsia="Arial" w:hAnsi="Arial"/>
          <w:sz w:val="18"/>
          <w:szCs w:val="18"/>
          <w:color w:val="0C0C0C"/>
        </w:rPr>
        <w:t>subsidiary of the Company</w:t>
      </w:r>
      <w:r>
        <w:rPr>
          <w:rFonts w:ascii="Arial" w:cs="Arial" w:eastAsia="Arial" w:hAnsi="Arial"/>
          <w:sz w:val="18"/>
          <w:szCs w:val="18"/>
          <w:color w:val="2B2B2B"/>
        </w:rPr>
        <w:t>.</w:t>
      </w:r>
    </w:p>
    <w:p>
      <w:pPr>
        <w:spacing w:after="0" w:line="148" w:lineRule="exact"/>
        <w:rPr>
          <w:sz w:val="20"/>
          <w:szCs w:val="20"/>
          <w:color w:val="auto"/>
        </w:rPr>
      </w:pPr>
    </w:p>
    <w:p>
      <w:pPr>
        <w:ind w:left="4" w:right="40" w:firstLine="648"/>
        <w:spacing w:after="0" w:line="212" w:lineRule="auto"/>
        <w:rPr>
          <w:sz w:val="20"/>
          <w:szCs w:val="20"/>
          <w:color w:val="auto"/>
        </w:rPr>
      </w:pPr>
      <w:r>
        <w:rPr>
          <w:rFonts w:ascii="Arial" w:cs="Arial" w:eastAsia="Arial" w:hAnsi="Arial"/>
          <w:sz w:val="19"/>
          <w:szCs w:val="19"/>
          <w:color w:val="0C0C0C"/>
        </w:rPr>
        <w:t xml:space="preserve">1.2. </w:t>
      </w:r>
      <w:r>
        <w:rPr>
          <w:rFonts w:ascii="Arial" w:cs="Arial" w:eastAsia="Arial" w:hAnsi="Arial"/>
          <w:sz w:val="19"/>
          <w:szCs w:val="19"/>
          <w:u w:val="single" w:color="auto"/>
          <w:color w:val="0C0C0C"/>
        </w:rPr>
        <w:t>"Confidential Information"</w:t>
      </w:r>
      <w:r>
        <w:rPr>
          <w:rFonts w:ascii="Arial" w:cs="Arial" w:eastAsia="Arial" w:hAnsi="Arial"/>
          <w:sz w:val="19"/>
          <w:szCs w:val="19"/>
          <w:color w:val="0C0C0C"/>
        </w:rPr>
        <w:t xml:space="preserve"> means any and all confidential and/or proprietary 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w:t>
      </w:r>
      <w:r>
        <w:rPr>
          <w:rFonts w:ascii="Arial" w:cs="Arial" w:eastAsia="Arial" w:hAnsi="Arial"/>
          <w:sz w:val="19"/>
          <w:szCs w:val="19"/>
          <w:color w:val="2B2B2B"/>
        </w:rPr>
        <w:t>,</w:t>
      </w:r>
      <w:r>
        <w:rPr>
          <w:rFonts w:ascii="Arial" w:cs="Arial" w:eastAsia="Arial" w:hAnsi="Arial"/>
          <w:sz w:val="19"/>
          <w:szCs w:val="19"/>
          <w:color w:val="0C0C0C"/>
        </w:rPr>
        <w:t xml:space="preserve">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w:t>
      </w:r>
      <w:r>
        <w:rPr>
          <w:rFonts w:ascii="Arial" w:cs="Arial" w:eastAsia="Arial" w:hAnsi="Arial"/>
          <w:sz w:val="19"/>
          <w:szCs w:val="19"/>
          <w:color w:val="2B2B2B"/>
        </w:rPr>
        <w:t>,</w:t>
      </w:r>
      <w:r>
        <w:rPr>
          <w:rFonts w:ascii="Arial" w:cs="Arial" w:eastAsia="Arial" w:hAnsi="Arial"/>
          <w:sz w:val="19"/>
          <w:szCs w:val="19"/>
          <w:color w:val="0C0C0C"/>
        </w:rPr>
        <w:t xml:space="preserve"> drawings, designs, technical specifications, laboratory notebooks, supplier and customer lists, internal financial data and other documents and records of the Company or its Affiliates. Notwithstanding the foregoing, nothing in this Agreement is intended to or will be used in any way to prevent disclosure of Confidential Information in accordance with the immunity provisions set forth in the Defend Trade Secrets Act of 2016 (18 U.S.C. § 1833(b)), meaning the disclosure is (1) in confidence to a government official or attorney solely for the purpose of reporting or investigating a suspected legal violation; or (2) under seal in connection with a lawsuit or other proceeding (including an anti-retaliation lawsuit) </w:t>
      </w:r>
      <w:r>
        <w:rPr>
          <w:rFonts w:ascii="Arial" w:cs="Arial" w:eastAsia="Arial" w:hAnsi="Arial"/>
          <w:sz w:val="19"/>
          <w:szCs w:val="19"/>
          <w:color w:val="2B2B2B"/>
        </w:rPr>
        <w:t>.</w:t>
      </w:r>
    </w:p>
    <w:p>
      <w:pPr>
        <w:spacing w:after="0" w:line="129" w:lineRule="exact"/>
        <w:rPr>
          <w:sz w:val="20"/>
          <w:szCs w:val="20"/>
          <w:color w:val="auto"/>
        </w:rPr>
      </w:pPr>
    </w:p>
    <w:p>
      <w:pPr>
        <w:ind w:left="4" w:right="40" w:firstLine="648"/>
        <w:spacing w:after="0" w:line="289" w:lineRule="auto"/>
        <w:rPr>
          <w:sz w:val="20"/>
          <w:szCs w:val="20"/>
          <w:color w:val="auto"/>
        </w:rPr>
      </w:pPr>
      <w:r>
        <w:rPr>
          <w:rFonts w:ascii="Arial" w:cs="Arial" w:eastAsia="Arial" w:hAnsi="Arial"/>
          <w:sz w:val="16"/>
          <w:szCs w:val="16"/>
          <w:color w:val="0C0C0C"/>
        </w:rPr>
        <w:t xml:space="preserve">1.3. </w:t>
      </w:r>
      <w:r>
        <w:rPr>
          <w:rFonts w:ascii="Arial" w:cs="Arial" w:eastAsia="Arial" w:hAnsi="Arial"/>
          <w:sz w:val="16"/>
          <w:szCs w:val="16"/>
          <w:u w:val="single" w:color="auto"/>
          <w:color w:val="0C0C0C"/>
        </w:rPr>
        <w:t>"Inventions"</w:t>
      </w:r>
      <w:r>
        <w:rPr>
          <w:rFonts w:ascii="Arial" w:cs="Arial" w:eastAsia="Arial" w:hAnsi="Arial"/>
          <w:sz w:val="16"/>
          <w:szCs w:val="16"/>
          <w:color w:val="0C0C0C"/>
        </w:rPr>
        <w:t xml:space="preserve"> means all ideas, concepts, discoveries, inventions, developments, improvements, formulations, products, </w:t>
      </w:r>
      <w:r>
        <w:rPr>
          <w:rFonts w:ascii="Arial" w:cs="Arial" w:eastAsia="Arial" w:hAnsi="Arial"/>
          <w:sz w:val="16"/>
          <w:szCs w:val="16"/>
          <w:color w:val="000000"/>
        </w:rPr>
        <w:t>processes</w:t>
      </w:r>
      <w:r>
        <w:rPr>
          <w:rFonts w:ascii="Arial" w:cs="Arial" w:eastAsia="Arial" w:hAnsi="Arial"/>
          <w:sz w:val="16"/>
          <w:szCs w:val="16"/>
          <w:color w:val="0C0C0C"/>
        </w:rPr>
        <w:t>, know-how, designs, formulas, methods, developmental or experimental work, clinical data, original works of authorship, software programs, software and systems documentation, trade secrets, technical data, or licenses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632650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38" w:name="page39"/>
    <w:bookmarkEnd w:id="38"/>
    <w:p>
      <w:pPr>
        <w:jc w:val="both"/>
        <w:ind w:left="4"/>
        <w:spacing w:after="0" w:line="206" w:lineRule="auto"/>
        <w:rPr>
          <w:sz w:val="20"/>
          <w:szCs w:val="20"/>
          <w:color w:val="auto"/>
        </w:rPr>
      </w:pPr>
      <w:r>
        <w:rPr>
          <w:rFonts w:ascii="Arial" w:cs="Arial" w:eastAsia="Arial" w:hAnsi="Arial"/>
          <w:sz w:val="20"/>
          <w:szCs w:val="20"/>
          <w:color w:val="0C0C0C"/>
        </w:rPr>
        <w:t>(whether or not patentable or registrable under copyright or similar statutes), that are or were made, conceived, devised, invented, developed or reduced to practice or tangible medium by me, either alone or jointly with others (a) during any period that I am an Associate of the Company, whether or not during normal working hours or on the premises of the Company, that relate, directly or indirectly, to the business of the Company or its Affiliates, (b) at the request of or for the benefit of the Company during any period prior to my engagement as an Associate of the Company that relate, directly or indirectly, to the business of the Company or its Affiliates, or (c) that arise out of, or are incidental to, my engagement as an Associate of the Company.</w:t>
      </w:r>
    </w:p>
    <w:p>
      <w:pPr>
        <w:spacing w:after="0" w:line="132" w:lineRule="exact"/>
        <w:rPr>
          <w:sz w:val="20"/>
          <w:szCs w:val="20"/>
          <w:color w:val="auto"/>
        </w:rPr>
      </w:pPr>
    </w:p>
    <w:p>
      <w:pPr>
        <w:ind w:left="4" w:right="260" w:firstLine="648"/>
        <w:spacing w:after="0" w:line="23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0C0C0C"/>
        </w:rPr>
        <w:t>"Prior Inventions"</w:t>
      </w:r>
      <w:r>
        <w:rPr>
          <w:rFonts w:ascii="Arial" w:cs="Arial" w:eastAsia="Arial" w:hAnsi="Arial"/>
          <w:sz w:val="18"/>
          <w:szCs w:val="18"/>
          <w:color w:val="auto"/>
        </w:rPr>
        <w:t xml:space="preserve"> </w:t>
      </w:r>
      <w:r>
        <w:rPr>
          <w:rFonts w:ascii="Arial" w:cs="Arial" w:eastAsia="Arial" w:hAnsi="Arial"/>
          <w:sz w:val="18"/>
          <w:szCs w:val="18"/>
          <w:color w:val="0C0C0C"/>
        </w:rPr>
        <w:t>means any inventions made, conceived, devised, invented, developed or first reduced to</w:t>
      </w:r>
      <w:r>
        <w:rPr>
          <w:rFonts w:ascii="Arial" w:cs="Arial" w:eastAsia="Arial" w:hAnsi="Arial"/>
          <w:sz w:val="18"/>
          <w:szCs w:val="18"/>
          <w:color w:val="auto"/>
        </w:rPr>
        <w:t xml:space="preserve"> </w:t>
      </w:r>
      <w:r>
        <w:rPr>
          <w:rFonts w:ascii="Arial" w:cs="Arial" w:eastAsia="Arial" w:hAnsi="Arial"/>
          <w:sz w:val="18"/>
          <w:szCs w:val="18"/>
          <w:color w:val="0C0C0C"/>
        </w:rPr>
        <w:t xml:space="preserve">practice by me, under my direction or jointly with others prior to the date of this Agreement and that do not constitute Inventions within the meaning of </w:t>
      </w:r>
      <w:r>
        <w:rPr>
          <w:rFonts w:ascii="Arial" w:cs="Arial" w:eastAsia="Arial" w:hAnsi="Arial"/>
          <w:sz w:val="18"/>
          <w:szCs w:val="18"/>
          <w:u w:val="single" w:color="auto"/>
          <w:color w:val="0C0C0C"/>
        </w:rPr>
        <w:t>Section 1.3</w:t>
      </w:r>
      <w:r>
        <w:rPr>
          <w:rFonts w:ascii="Arial" w:cs="Arial" w:eastAsia="Arial" w:hAnsi="Arial"/>
          <w:sz w:val="18"/>
          <w:szCs w:val="18"/>
          <w:color w:val="0C0C0C"/>
        </w:rPr>
        <w:t xml:space="preserve"> above. Prior Inventions also means an invention for which no equipment, supplies, </w:t>
      </w:r>
      <w:r>
        <w:rPr>
          <w:rFonts w:ascii="Arial" w:cs="Arial" w:eastAsia="Arial" w:hAnsi="Arial"/>
          <w:sz w:val="18"/>
          <w:szCs w:val="18"/>
          <w:color w:val="000000"/>
        </w:rPr>
        <w:t>facility</w:t>
      </w:r>
      <w:r>
        <w:rPr>
          <w:rFonts w:ascii="Arial" w:cs="Arial" w:eastAsia="Arial" w:hAnsi="Arial"/>
          <w:sz w:val="18"/>
          <w:szCs w:val="18"/>
          <w:color w:val="0C0C0C"/>
        </w:rPr>
        <w:t xml:space="preserve"> or trade secret information of the Company was used and which was developed entirely on my own time, and (1) which does not relate (a) directly to the business of the Company or (b) to the Company's actual or demonstrably anticipated research or development, or (2) which does not result from any work performed by the me for the Company.</w:t>
      </w:r>
    </w:p>
    <w:p>
      <w:pPr>
        <w:spacing w:after="0" w:line="128" w:lineRule="exact"/>
        <w:rPr>
          <w:sz w:val="20"/>
          <w:szCs w:val="20"/>
          <w:color w:val="auto"/>
        </w:rPr>
      </w:pPr>
    </w:p>
    <w:p>
      <w:pPr>
        <w:ind w:left="4" w:right="200" w:firstLine="648"/>
        <w:spacing w:after="0" w:line="229" w:lineRule="auto"/>
        <w:rPr>
          <w:sz w:val="20"/>
          <w:szCs w:val="20"/>
          <w:color w:val="auto"/>
        </w:rPr>
      </w:pPr>
      <w:r>
        <w:rPr>
          <w:rFonts w:ascii="Arial" w:cs="Arial" w:eastAsia="Arial" w:hAnsi="Arial"/>
          <w:sz w:val="20"/>
          <w:szCs w:val="20"/>
          <w:color w:val="0C0C0C"/>
        </w:rPr>
        <w:t xml:space="preserve">1.5. </w:t>
      </w:r>
      <w:r>
        <w:rPr>
          <w:rFonts w:ascii="Arial" w:cs="Arial" w:eastAsia="Arial" w:hAnsi="Arial"/>
          <w:sz w:val="20"/>
          <w:szCs w:val="20"/>
          <w:u w:val="single" w:color="auto"/>
          <w:color w:val="0C0C0C"/>
        </w:rPr>
        <w:t>"Third Party Information"</w:t>
      </w:r>
      <w:r>
        <w:rPr>
          <w:rFonts w:ascii="Arial" w:cs="Arial" w:eastAsia="Arial" w:hAnsi="Arial"/>
          <w:sz w:val="20"/>
          <w:szCs w:val="20"/>
          <w:color w:val="0C0C0C"/>
        </w:rPr>
        <w:t xml:space="preserve"> means any </w:t>
      </w:r>
      <w:r>
        <w:rPr>
          <w:rFonts w:ascii="Arial" w:cs="Arial" w:eastAsia="Arial" w:hAnsi="Arial"/>
          <w:sz w:val="20"/>
          <w:szCs w:val="20"/>
          <w:color w:val="000000"/>
        </w:rPr>
        <w:t>confidential</w:t>
      </w:r>
      <w:r>
        <w:rPr>
          <w:rFonts w:ascii="Arial" w:cs="Arial" w:eastAsia="Arial" w:hAnsi="Arial"/>
          <w:sz w:val="20"/>
          <w:szCs w:val="20"/>
          <w:color w:val="0C0C0C"/>
        </w:rPr>
        <w:t xml:space="preserve"> or proprietary information received by the Company or its Affiliates from third parties.</w:t>
      </w:r>
    </w:p>
    <w:p>
      <w:pPr>
        <w:spacing w:after="0" w:line="128" w:lineRule="exact"/>
        <w:rPr>
          <w:sz w:val="20"/>
          <w:szCs w:val="20"/>
          <w:color w:val="auto"/>
        </w:rPr>
      </w:pPr>
    </w:p>
    <w:p>
      <w:pPr>
        <w:ind w:left="344" w:hanging="344"/>
        <w:spacing w:after="0"/>
        <w:tabs>
          <w:tab w:leader="none" w:pos="344" w:val="left"/>
        </w:tabs>
        <w:numPr>
          <w:ilvl w:val="0"/>
          <w:numId w:val="15"/>
        </w:numPr>
        <w:rPr>
          <w:rFonts w:ascii="Arial" w:cs="Arial" w:eastAsia="Arial" w:hAnsi="Arial"/>
          <w:sz w:val="20"/>
          <w:szCs w:val="20"/>
          <w:color w:val="0C0C0C"/>
        </w:rPr>
      </w:pPr>
      <w:r>
        <w:rPr>
          <w:rFonts w:ascii="Arial" w:cs="Arial" w:eastAsia="Arial" w:hAnsi="Arial"/>
          <w:sz w:val="20"/>
          <w:szCs w:val="20"/>
          <w:color w:val="auto"/>
        </w:rPr>
        <w:t>CONFIDENTIALITY</w:t>
      </w:r>
      <w:r>
        <w:rPr>
          <w:rFonts w:ascii="Arial" w:cs="Arial" w:eastAsia="Arial" w:hAnsi="Arial"/>
          <w:sz w:val="20"/>
          <w:szCs w:val="20"/>
          <w:color w:val="0C0C0C"/>
        </w:rPr>
        <w:t>.</w:t>
      </w:r>
    </w:p>
    <w:p>
      <w:pPr>
        <w:spacing w:after="0" w:line="148" w:lineRule="exact"/>
        <w:rPr>
          <w:sz w:val="20"/>
          <w:szCs w:val="20"/>
          <w:color w:val="auto"/>
        </w:rPr>
      </w:pPr>
    </w:p>
    <w:p>
      <w:pPr>
        <w:ind w:left="4" w:right="140" w:firstLine="648"/>
        <w:spacing w:after="0" w:line="236" w:lineRule="auto"/>
        <w:rPr>
          <w:sz w:val="20"/>
          <w:szCs w:val="20"/>
          <w:color w:val="auto"/>
        </w:rPr>
      </w:pPr>
      <w:r>
        <w:rPr>
          <w:rFonts w:ascii="Arial" w:cs="Arial" w:eastAsia="Arial" w:hAnsi="Arial"/>
          <w:sz w:val="18"/>
          <w:szCs w:val="18"/>
          <w:color w:val="0C0C0C"/>
        </w:rPr>
        <w:t xml:space="preserve">2.1. </w:t>
      </w:r>
      <w:r>
        <w:rPr>
          <w:rFonts w:ascii="Arial" w:cs="Arial" w:eastAsia="Arial" w:hAnsi="Arial"/>
          <w:sz w:val="18"/>
          <w:szCs w:val="18"/>
          <w:u w:val="single" w:color="auto"/>
          <w:color w:val="0C0C0C"/>
        </w:rPr>
        <w:t>Recognition of the Company's Rights.</w:t>
      </w:r>
      <w:r>
        <w:rPr>
          <w:rFonts w:ascii="Arial" w:cs="Arial" w:eastAsia="Arial" w:hAnsi="Arial"/>
          <w:sz w:val="18"/>
          <w:szCs w:val="18"/>
          <w:color w:val="0C0C0C"/>
        </w:rPr>
        <w:t xml:space="preserve"> I understand that the Company continually obtains and develops valuable Confidential Information that may or has become known to me in </w:t>
      </w:r>
      <w:r>
        <w:rPr>
          <w:rFonts w:ascii="Arial" w:cs="Arial" w:eastAsia="Arial" w:hAnsi="Arial"/>
          <w:sz w:val="18"/>
          <w:szCs w:val="18"/>
          <w:color w:val="000000"/>
        </w:rPr>
        <w:t>connection</w:t>
      </w:r>
      <w:r>
        <w:rPr>
          <w:rFonts w:ascii="Arial" w:cs="Arial" w:eastAsia="Arial" w:hAnsi="Arial"/>
          <w:sz w:val="18"/>
          <w:szCs w:val="18"/>
          <w:color w:val="0C0C0C"/>
        </w:rPr>
        <w:t xml:space="preserve"> with my engagement as an Associate of the Company. I acknowledge that all Confidential Information is and will remain the exclusive property of the Company or the third party providing </w:t>
      </w:r>
      <w:r>
        <w:rPr>
          <w:rFonts w:ascii="Arial" w:cs="Arial" w:eastAsia="Arial" w:hAnsi="Arial"/>
          <w:sz w:val="18"/>
          <w:szCs w:val="18"/>
          <w:color w:val="212121"/>
        </w:rPr>
        <w:t>such</w:t>
      </w:r>
      <w:r>
        <w:rPr>
          <w:rFonts w:ascii="Arial" w:cs="Arial" w:eastAsia="Arial" w:hAnsi="Arial"/>
          <w:sz w:val="18"/>
          <w:szCs w:val="18"/>
          <w:color w:val="0C0C0C"/>
        </w:rPr>
        <w:t xml:space="preserve"> Confidential Information to myself, the Company, or the Company's Affiliates.</w:t>
      </w:r>
    </w:p>
    <w:p>
      <w:pPr>
        <w:spacing w:after="0" w:line="131" w:lineRule="exact"/>
        <w:rPr>
          <w:sz w:val="20"/>
          <w:szCs w:val="20"/>
          <w:color w:val="auto"/>
        </w:rPr>
      </w:pPr>
    </w:p>
    <w:p>
      <w:pPr>
        <w:ind w:left="4" w:right="60" w:firstLine="648"/>
        <w:spacing w:after="0" w:line="228" w:lineRule="auto"/>
        <w:rPr>
          <w:sz w:val="20"/>
          <w:szCs w:val="20"/>
          <w:color w:val="auto"/>
        </w:rPr>
      </w:pPr>
      <w:r>
        <w:rPr>
          <w:rFonts w:ascii="Arial" w:cs="Arial" w:eastAsia="Arial" w:hAnsi="Arial"/>
          <w:sz w:val="18"/>
          <w:szCs w:val="18"/>
          <w:color w:val="0C0C0C"/>
        </w:rPr>
        <w:t xml:space="preserve">2.2. </w:t>
      </w:r>
      <w:r>
        <w:rPr>
          <w:rFonts w:ascii="Arial" w:cs="Arial" w:eastAsia="Arial" w:hAnsi="Arial"/>
          <w:sz w:val="18"/>
          <w:szCs w:val="18"/>
          <w:u w:val="single" w:color="auto"/>
          <w:color w:val="0C0C0C"/>
        </w:rPr>
        <w:t>Nondisclosure of Confidential Information.</w:t>
      </w:r>
      <w:r>
        <w:rPr>
          <w:rFonts w:ascii="Arial" w:cs="Arial" w:eastAsia="Arial" w:hAnsi="Arial"/>
          <w:sz w:val="18"/>
          <w:szCs w:val="18"/>
          <w:color w:val="0C0C0C"/>
        </w:rPr>
        <w:t xml:space="preserve"> I agree that during the term of my 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will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128" w:lineRule="exact"/>
        <w:rPr>
          <w:sz w:val="20"/>
          <w:szCs w:val="20"/>
          <w:color w:val="auto"/>
        </w:rPr>
      </w:pPr>
    </w:p>
    <w:p>
      <w:pPr>
        <w:ind w:left="4" w:right="40" w:firstLine="648"/>
        <w:spacing w:after="0" w:line="202" w:lineRule="auto"/>
        <w:rPr>
          <w:sz w:val="20"/>
          <w:szCs w:val="20"/>
          <w:color w:val="auto"/>
        </w:rPr>
      </w:pPr>
      <w:r>
        <w:rPr>
          <w:rFonts w:ascii="Arial" w:cs="Arial" w:eastAsia="Arial" w:hAnsi="Arial"/>
          <w:sz w:val="20"/>
          <w:szCs w:val="20"/>
          <w:color w:val="0C0C0C"/>
        </w:rPr>
        <w:t xml:space="preserve">2.3. </w:t>
      </w:r>
      <w:r>
        <w:rPr>
          <w:rFonts w:ascii="Arial" w:cs="Arial" w:eastAsia="Arial" w:hAnsi="Arial"/>
          <w:sz w:val="20"/>
          <w:szCs w:val="20"/>
          <w:u w:val="single" w:color="auto"/>
          <w:color w:val="0C0C0C"/>
        </w:rPr>
        <w:t>Third Party Information.</w:t>
      </w:r>
      <w:r>
        <w:rPr>
          <w:rFonts w:ascii="Arial" w:cs="Arial" w:eastAsia="Arial" w:hAnsi="Arial"/>
          <w:sz w:val="20"/>
          <w:szCs w:val="20"/>
          <w:color w:val="0C0C0C"/>
        </w:rPr>
        <w:t xml:space="preserve"> In addition, I understand that the Company has received and in the future will receive Third Party Information subject to a duty on the Company's part to maintain the confidentiality of such information and to use it only for certain limited purposes</w:t>
      </w:r>
      <w:r>
        <w:rPr>
          <w:rFonts w:ascii="Arial" w:cs="Arial" w:eastAsia="Arial" w:hAnsi="Arial"/>
          <w:sz w:val="20"/>
          <w:szCs w:val="20"/>
          <w:color w:val="424242"/>
        </w:rPr>
        <w:t>.</w:t>
      </w:r>
    </w:p>
    <w:p>
      <w:pPr>
        <w:spacing w:after="0" w:line="2" w:lineRule="exact"/>
        <w:rPr>
          <w:sz w:val="20"/>
          <w:szCs w:val="20"/>
          <w:color w:val="auto"/>
        </w:rPr>
      </w:pPr>
    </w:p>
    <w:p>
      <w:pPr>
        <w:ind w:left="4"/>
        <w:spacing w:after="0"/>
        <w:rPr>
          <w:sz w:val="20"/>
          <w:szCs w:val="20"/>
          <w:color w:val="auto"/>
        </w:rPr>
      </w:pPr>
      <w:r>
        <w:rPr>
          <w:rFonts w:ascii="Arial" w:cs="Arial" w:eastAsia="Arial" w:hAnsi="Arial"/>
          <w:sz w:val="20"/>
          <w:szCs w:val="20"/>
          <w:color w:val="0C0C0C"/>
        </w:rPr>
        <w:t>During the term of my engagement as an Associate of the Company and thereafter, I will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632650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39" w:name="page40"/>
    <w:bookmarkEnd w:id="39"/>
    <w:p>
      <w:pPr>
        <w:ind w:left="4" w:right="40"/>
        <w:spacing w:after="0" w:line="237" w:lineRule="auto"/>
        <w:rPr>
          <w:sz w:val="20"/>
          <w:szCs w:val="20"/>
          <w:color w:val="auto"/>
        </w:rPr>
      </w:pPr>
      <w:r>
        <w:rPr>
          <w:rFonts w:ascii="Arial" w:cs="Arial" w:eastAsia="Arial" w:hAnsi="Arial"/>
          <w:sz w:val="18"/>
          <w:szCs w:val="18"/>
          <w:color w:val="0F0F0F"/>
        </w:rPr>
        <w:t xml:space="preserve">Third Party Information in the strictest confidence and will not disclose to anyone (other than personnel of the Company or its Affiliates who need to know such information in connection with the performance of their duties for the Company) or use </w:t>
      </w:r>
      <w:r>
        <w:rPr>
          <w:rFonts w:ascii="Arial" w:cs="Arial" w:eastAsia="Arial" w:hAnsi="Arial"/>
          <w:sz w:val="18"/>
          <w:szCs w:val="18"/>
          <w:color w:val="000000"/>
        </w:rPr>
        <w:t xml:space="preserve">any </w:t>
      </w:r>
      <w:r>
        <w:rPr>
          <w:rFonts w:ascii="Arial" w:cs="Arial" w:eastAsia="Arial" w:hAnsi="Arial"/>
          <w:sz w:val="18"/>
          <w:szCs w:val="18"/>
          <w:color w:val="0F0F0F"/>
        </w:rPr>
        <w:t>Third Party Information, except as such disclosure or use may be required in connection with the performance of my</w:t>
      </w:r>
      <w:r>
        <w:rPr>
          <w:rFonts w:ascii="Arial" w:cs="Arial" w:eastAsia="Arial" w:hAnsi="Arial"/>
          <w:sz w:val="18"/>
          <w:szCs w:val="18"/>
          <w:color w:val="000000"/>
        </w:rPr>
        <w:t xml:space="preserve"> </w:t>
      </w:r>
      <w:r>
        <w:rPr>
          <w:rFonts w:ascii="Arial" w:cs="Arial" w:eastAsia="Arial" w:hAnsi="Arial"/>
          <w:sz w:val="18"/>
          <w:szCs w:val="18"/>
          <w:color w:val="0F0F0F"/>
        </w:rPr>
        <w:t>duties for the Company, or as expressly authorized in writing by an executive officer of the Company.</w:t>
      </w:r>
    </w:p>
    <w:p>
      <w:pPr>
        <w:spacing w:after="0" w:line="129" w:lineRule="exact"/>
        <w:rPr>
          <w:sz w:val="20"/>
          <w:szCs w:val="20"/>
          <w:color w:val="auto"/>
        </w:rPr>
      </w:pPr>
    </w:p>
    <w:p>
      <w:pPr>
        <w:ind w:left="4" w:firstLine="648"/>
        <w:spacing w:after="0" w:line="205" w:lineRule="auto"/>
        <w:rPr>
          <w:sz w:val="20"/>
          <w:szCs w:val="20"/>
          <w:color w:val="auto"/>
        </w:rPr>
      </w:pPr>
      <w:r>
        <w:rPr>
          <w:rFonts w:ascii="Arial" w:cs="Arial" w:eastAsia="Arial" w:hAnsi="Arial"/>
          <w:sz w:val="20"/>
          <w:szCs w:val="20"/>
          <w:color w:val="0F0F0F"/>
        </w:rPr>
        <w:t xml:space="preserve">2.4. </w:t>
      </w:r>
      <w:r>
        <w:rPr>
          <w:rFonts w:ascii="Arial" w:cs="Arial" w:eastAsia="Arial" w:hAnsi="Arial"/>
          <w:sz w:val="20"/>
          <w:szCs w:val="20"/>
          <w:u w:val="single" w:color="auto"/>
          <w:color w:val="0F0F0F"/>
        </w:rPr>
        <w:t>Exceptions.</w:t>
      </w:r>
      <w:r>
        <w:rPr>
          <w:rFonts w:ascii="Arial" w:cs="Arial" w:eastAsia="Arial" w:hAnsi="Arial"/>
          <w:sz w:val="20"/>
          <w:szCs w:val="20"/>
          <w:color w:val="0F0F0F"/>
        </w:rPr>
        <w:t xml:space="preserve"> My obligations under </w:t>
      </w:r>
      <w:r>
        <w:rPr>
          <w:rFonts w:ascii="Arial" w:cs="Arial" w:eastAsia="Arial" w:hAnsi="Arial"/>
          <w:sz w:val="20"/>
          <w:szCs w:val="20"/>
          <w:u w:val="single" w:color="auto"/>
          <w:color w:val="0F0F0F"/>
        </w:rPr>
        <w:t>Sections 2</w:t>
      </w:r>
      <w:r>
        <w:rPr>
          <w:rFonts w:ascii="Arial" w:cs="Arial" w:eastAsia="Arial" w:hAnsi="Arial"/>
          <w:sz w:val="20"/>
          <w:szCs w:val="20"/>
          <w:color w:val="343434"/>
        </w:rPr>
        <w:t>.</w:t>
      </w:r>
      <w:r>
        <w:rPr>
          <w:rFonts w:ascii="Arial" w:cs="Arial" w:eastAsia="Arial" w:hAnsi="Arial"/>
          <w:sz w:val="20"/>
          <w:szCs w:val="20"/>
          <w:u w:val="single" w:color="auto"/>
          <w:color w:val="0F0F0F"/>
        </w:rPr>
        <w:t>2</w:t>
      </w:r>
      <w:r>
        <w:rPr>
          <w:rFonts w:ascii="Arial" w:cs="Arial" w:eastAsia="Arial" w:hAnsi="Arial"/>
          <w:sz w:val="20"/>
          <w:szCs w:val="20"/>
          <w:color w:val="0F0F0F"/>
        </w:rPr>
        <w:t xml:space="preserve"> and </w:t>
      </w:r>
      <w:r>
        <w:rPr>
          <w:rFonts w:ascii="Arial" w:cs="Arial" w:eastAsia="Arial" w:hAnsi="Arial"/>
          <w:sz w:val="20"/>
          <w:szCs w:val="20"/>
          <w:u w:val="single" w:color="auto"/>
          <w:color w:val="0F0F0F"/>
        </w:rPr>
        <w:t>2.3</w:t>
      </w:r>
      <w:r>
        <w:rPr>
          <w:rFonts w:ascii="Arial" w:cs="Arial" w:eastAsia="Arial" w:hAnsi="Arial"/>
          <w:sz w:val="20"/>
          <w:szCs w:val="20"/>
          <w:color w:val="0F0F0F"/>
        </w:rPr>
        <w:t xml:space="preserve"> hereof will not apply to the 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w:t>
      </w:r>
      <w:r>
        <w:rPr>
          <w:rFonts w:ascii="Arial" w:cs="Arial" w:eastAsia="Arial" w:hAnsi="Arial"/>
          <w:sz w:val="20"/>
          <w:szCs w:val="20"/>
          <w:color w:val="343434"/>
        </w:rPr>
        <w:t>'</w:t>
      </w:r>
      <w:r>
        <w:rPr>
          <w:rFonts w:ascii="Arial" w:cs="Arial" w:eastAsia="Arial" w:hAnsi="Arial"/>
          <w:sz w:val="20"/>
          <w:szCs w:val="20"/>
          <w:color w:val="0F0F0F"/>
        </w:rPr>
        <w:t xml:space="preserve"> s </w:t>
      </w:r>
      <w:r>
        <w:rPr>
          <w:rFonts w:ascii="Arial" w:cs="Arial" w:eastAsia="Arial" w:hAnsi="Arial"/>
          <w:sz w:val="20"/>
          <w:szCs w:val="20"/>
          <w:color w:val="000000"/>
        </w:rPr>
        <w:t>Affiliates</w:t>
      </w:r>
      <w:r>
        <w:rPr>
          <w:rFonts w:ascii="Arial" w:cs="Arial" w:eastAsia="Arial" w:hAnsi="Arial"/>
          <w:sz w:val="20"/>
          <w:szCs w:val="20"/>
          <w:color w:val="0F0F0F"/>
        </w:rPr>
        <w:t xml:space="preserve"> and who imposes no obligation of confidence to me, the Company, or the Company's Affiliates;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129" w:lineRule="exact"/>
        <w:rPr>
          <w:sz w:val="20"/>
          <w:szCs w:val="20"/>
          <w:color w:val="auto"/>
        </w:rPr>
      </w:pPr>
    </w:p>
    <w:p>
      <w:pPr>
        <w:ind w:left="4" w:right="20" w:firstLine="648"/>
        <w:spacing w:after="0" w:line="216" w:lineRule="auto"/>
        <w:rPr>
          <w:sz w:val="20"/>
          <w:szCs w:val="20"/>
          <w:color w:val="auto"/>
        </w:rPr>
      </w:pPr>
      <w:r>
        <w:rPr>
          <w:rFonts w:ascii="Arial" w:cs="Arial" w:eastAsia="Arial" w:hAnsi="Arial"/>
          <w:sz w:val="19"/>
          <w:szCs w:val="19"/>
          <w:color w:val="0F0F0F"/>
        </w:rPr>
        <w:t xml:space="preserve">2.5. </w:t>
      </w:r>
      <w:r>
        <w:rPr>
          <w:rFonts w:ascii="Arial" w:cs="Arial" w:eastAsia="Arial" w:hAnsi="Arial"/>
          <w:sz w:val="19"/>
          <w:szCs w:val="19"/>
          <w:u w:val="single" w:color="auto"/>
          <w:color w:val="0F0F0F"/>
        </w:rPr>
        <w:t>Protection and Return of Confidential Information.</w:t>
      </w:r>
      <w:r>
        <w:rPr>
          <w:rFonts w:ascii="Arial" w:cs="Arial" w:eastAsia="Arial" w:hAnsi="Arial"/>
          <w:sz w:val="19"/>
          <w:szCs w:val="19"/>
          <w:color w:val="0F0F0F"/>
        </w:rPr>
        <w:t xml:space="preserve"> I agree to exercise all 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w:t>
      </w:r>
      <w:r>
        <w:rPr>
          <w:rFonts w:ascii="Arial" w:cs="Arial" w:eastAsia="Arial" w:hAnsi="Arial"/>
          <w:sz w:val="19"/>
          <w:szCs w:val="19"/>
          <w:color w:val="000000"/>
        </w:rPr>
        <w:t>executive</w:t>
      </w:r>
      <w:r>
        <w:rPr>
          <w:rFonts w:ascii="Arial" w:cs="Arial" w:eastAsia="Arial" w:hAnsi="Arial"/>
          <w:sz w:val="19"/>
          <w:szCs w:val="19"/>
          <w:color w:val="0F0F0F"/>
        </w:rPr>
        <w:t xml:space="preserve"> officer of the Company. Upon the termination of my engagement as an Associate of the Company, or at any time upon the Company's request, I will return immediately to the Company any and all notes, memoranda, specifications</w:t>
      </w:r>
      <w:r>
        <w:rPr>
          <w:rFonts w:ascii="Arial" w:cs="Arial" w:eastAsia="Arial" w:hAnsi="Arial"/>
          <w:sz w:val="19"/>
          <w:szCs w:val="19"/>
          <w:color w:val="343434"/>
        </w:rPr>
        <w:t>,</w:t>
      </w:r>
      <w:r>
        <w:rPr>
          <w:rFonts w:ascii="Arial" w:cs="Arial" w:eastAsia="Arial" w:hAnsi="Arial"/>
          <w:sz w:val="19"/>
          <w:szCs w:val="19"/>
          <w:color w:val="0F0F0F"/>
        </w:rPr>
        <w:t xml:space="preserve"> devices, formulas and documents</w:t>
      </w:r>
      <w:r>
        <w:rPr>
          <w:rFonts w:ascii="Arial" w:cs="Arial" w:eastAsia="Arial" w:hAnsi="Arial"/>
          <w:sz w:val="19"/>
          <w:szCs w:val="19"/>
          <w:color w:val="343434"/>
        </w:rPr>
        <w:t>,</w:t>
      </w:r>
      <w:r>
        <w:rPr>
          <w:rFonts w:ascii="Arial" w:cs="Arial" w:eastAsia="Arial" w:hAnsi="Arial"/>
          <w:sz w:val="19"/>
          <w:szCs w:val="19"/>
          <w:color w:val="0F0F0F"/>
        </w:rPr>
        <w:t xml:space="preserve"> together with copies thereof, and any other material containing or disclosing any Confidential Information of the Company or Third Party Information then in my possession or under my control.</w:t>
      </w:r>
    </w:p>
    <w:p>
      <w:pPr>
        <w:spacing w:after="0" w:line="128" w:lineRule="exact"/>
        <w:rPr>
          <w:sz w:val="20"/>
          <w:szCs w:val="20"/>
          <w:color w:val="auto"/>
        </w:rPr>
      </w:pPr>
    </w:p>
    <w:p>
      <w:pPr>
        <w:ind w:left="344" w:hanging="344"/>
        <w:spacing w:after="0"/>
        <w:tabs>
          <w:tab w:leader="none" w:pos="344" w:val="left"/>
        </w:tabs>
        <w:numPr>
          <w:ilvl w:val="0"/>
          <w:numId w:val="16"/>
        </w:numPr>
        <w:rPr>
          <w:rFonts w:ascii="Arial" w:cs="Arial" w:eastAsia="Arial" w:hAnsi="Arial"/>
          <w:sz w:val="20"/>
          <w:szCs w:val="20"/>
          <w:color w:val="0F0F0F"/>
        </w:rPr>
      </w:pPr>
      <w:r>
        <w:rPr>
          <w:rFonts w:ascii="Arial" w:cs="Arial" w:eastAsia="Arial" w:hAnsi="Arial"/>
          <w:sz w:val="20"/>
          <w:szCs w:val="20"/>
          <w:color w:val="auto"/>
        </w:rPr>
        <w:t xml:space="preserve">ASSIGNMENT </w:t>
      </w:r>
      <w:r>
        <w:rPr>
          <w:rFonts w:ascii="Arial" w:cs="Arial" w:eastAsia="Arial" w:hAnsi="Arial"/>
          <w:sz w:val="20"/>
          <w:szCs w:val="20"/>
          <w:color w:val="0F0F0F"/>
        </w:rPr>
        <w:t>OF INVENTIONS.</w:t>
      </w:r>
    </w:p>
    <w:p>
      <w:pPr>
        <w:spacing w:after="0" w:line="148" w:lineRule="exact"/>
        <w:rPr>
          <w:sz w:val="20"/>
          <w:szCs w:val="20"/>
          <w:color w:val="auto"/>
        </w:rPr>
      </w:pPr>
    </w:p>
    <w:p>
      <w:pPr>
        <w:jc w:val="both"/>
        <w:ind w:left="4" w:right="220" w:firstLine="648"/>
        <w:spacing w:after="0" w:line="230" w:lineRule="auto"/>
        <w:rPr>
          <w:sz w:val="20"/>
          <w:szCs w:val="20"/>
          <w:color w:val="auto"/>
        </w:rPr>
      </w:pPr>
      <w:r>
        <w:rPr>
          <w:rFonts w:ascii="Arial" w:cs="Arial" w:eastAsia="Arial" w:hAnsi="Arial"/>
          <w:sz w:val="19"/>
          <w:szCs w:val="19"/>
          <w:color w:val="0F0F0F"/>
        </w:rPr>
        <w:t xml:space="preserve">3.1. </w:t>
      </w:r>
      <w:r>
        <w:rPr>
          <w:rFonts w:ascii="Arial" w:cs="Arial" w:eastAsia="Arial" w:hAnsi="Arial"/>
          <w:sz w:val="19"/>
          <w:szCs w:val="19"/>
          <w:u w:val="single" w:color="auto"/>
          <w:color w:val="0F0F0F"/>
        </w:rPr>
        <w:t>Ownership of Inventions.</w:t>
      </w:r>
      <w:r>
        <w:rPr>
          <w:rFonts w:ascii="Arial" w:cs="Arial" w:eastAsia="Arial" w:hAnsi="Arial"/>
          <w:sz w:val="19"/>
          <w:szCs w:val="19"/>
          <w:color w:val="0F0F0F"/>
        </w:rPr>
        <w:t xml:space="preserve"> I acknowledge that all </w:t>
      </w:r>
      <w:r>
        <w:rPr>
          <w:rFonts w:ascii="Arial" w:cs="Arial" w:eastAsia="Arial" w:hAnsi="Arial"/>
          <w:sz w:val="19"/>
          <w:szCs w:val="19"/>
          <w:color w:val="000000"/>
        </w:rPr>
        <w:t>Inventions</w:t>
      </w:r>
      <w:r>
        <w:rPr>
          <w:rFonts w:ascii="Arial" w:cs="Arial" w:eastAsia="Arial" w:hAnsi="Arial"/>
          <w:sz w:val="19"/>
          <w:szCs w:val="19"/>
          <w:color w:val="0F0F0F"/>
        </w:rPr>
        <w:t xml:space="preserve"> already existing at the date of this Agreement or that arise after the date of this Agreement, belong to and are the absolute property of the Company and will not be used by me for any purpose other than carrying out my duties as an Associate of the Company.</w:t>
      </w:r>
    </w:p>
    <w:p>
      <w:pPr>
        <w:spacing w:after="0" w:line="128" w:lineRule="exact"/>
        <w:rPr>
          <w:sz w:val="20"/>
          <w:szCs w:val="20"/>
          <w:color w:val="auto"/>
        </w:rPr>
      </w:pPr>
    </w:p>
    <w:p>
      <w:pPr>
        <w:ind w:left="4" w:right="20" w:firstLine="648"/>
        <w:spacing w:after="0" w:line="228" w:lineRule="auto"/>
        <w:rPr>
          <w:sz w:val="20"/>
          <w:szCs w:val="20"/>
          <w:color w:val="auto"/>
        </w:rPr>
      </w:pPr>
      <w:r>
        <w:rPr>
          <w:rFonts w:ascii="Arial" w:cs="Arial" w:eastAsia="Arial" w:hAnsi="Arial"/>
          <w:sz w:val="18"/>
          <w:szCs w:val="18"/>
          <w:color w:val="0F0F0F"/>
        </w:rPr>
        <w:t xml:space="preserve">3.2. </w:t>
      </w:r>
      <w:r>
        <w:rPr>
          <w:rFonts w:ascii="Arial" w:cs="Arial" w:eastAsia="Arial" w:hAnsi="Arial"/>
          <w:sz w:val="18"/>
          <w:szCs w:val="18"/>
          <w:u w:val="single" w:color="auto"/>
          <w:color w:val="0F0F0F"/>
        </w:rPr>
        <w:t>Assignment of Inventions; Enforcement of Rights</w:t>
      </w:r>
      <w:r>
        <w:rPr>
          <w:rFonts w:ascii="Arial" w:cs="Arial" w:eastAsia="Arial" w:hAnsi="Arial"/>
          <w:sz w:val="18"/>
          <w:szCs w:val="18"/>
          <w:color w:val="343434"/>
        </w:rPr>
        <w:t>.</w:t>
      </w:r>
      <w:r>
        <w:rPr>
          <w:rFonts w:ascii="Arial" w:cs="Arial" w:eastAsia="Arial" w:hAnsi="Arial"/>
          <w:sz w:val="18"/>
          <w:szCs w:val="18"/>
          <w:color w:val="0F0F0F"/>
        </w:rPr>
        <w:t xml:space="preserve"> Subject to </w:t>
      </w:r>
      <w:r>
        <w:rPr>
          <w:rFonts w:ascii="Arial" w:cs="Arial" w:eastAsia="Arial" w:hAnsi="Arial"/>
          <w:sz w:val="18"/>
          <w:szCs w:val="18"/>
          <w:u w:val="single" w:color="auto"/>
          <w:color w:val="0F0F0F"/>
        </w:rPr>
        <w:t>Section 3</w:t>
      </w:r>
      <w:r>
        <w:rPr>
          <w:rFonts w:ascii="Arial" w:cs="Arial" w:eastAsia="Arial" w:hAnsi="Arial"/>
          <w:sz w:val="18"/>
          <w:szCs w:val="18"/>
          <w:color w:val="343434"/>
        </w:rPr>
        <w:t>.</w:t>
      </w:r>
      <w:r>
        <w:rPr>
          <w:rFonts w:ascii="Arial" w:cs="Arial" w:eastAsia="Arial" w:hAnsi="Arial"/>
          <w:sz w:val="18"/>
          <w:szCs w:val="18"/>
          <w:u w:val="single" w:color="auto"/>
          <w:color w:val="0F0F0F"/>
        </w:rPr>
        <w:t>6,</w:t>
      </w:r>
      <w:r>
        <w:rPr>
          <w:rFonts w:ascii="Arial" w:cs="Arial" w:eastAsia="Arial" w:hAnsi="Arial"/>
          <w:sz w:val="18"/>
          <w:szCs w:val="18"/>
          <w:color w:val="0F0F0F"/>
        </w:rPr>
        <w:t xml:space="preserve"> I hereby 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will cooperate with the Company</w:t>
      </w:r>
      <w:r>
        <w:rPr>
          <w:rFonts w:ascii="Arial" w:cs="Arial" w:eastAsia="Arial" w:hAnsi="Arial"/>
          <w:sz w:val="18"/>
          <w:szCs w:val="18"/>
          <w:color w:val="343434"/>
        </w:rPr>
        <w:t>,</w:t>
      </w:r>
      <w:r>
        <w:rPr>
          <w:rFonts w:ascii="Arial" w:cs="Arial" w:eastAsia="Arial" w:hAnsi="Arial"/>
          <w:sz w:val="18"/>
          <w:szCs w:val="18"/>
          <w:color w:val="0F0F0F"/>
        </w:rPr>
        <w:t xml:space="preserve"> at the Company's expense</w:t>
      </w:r>
      <w:r>
        <w:rPr>
          <w:rFonts w:ascii="Arial" w:cs="Arial" w:eastAsia="Arial" w:hAnsi="Arial"/>
          <w:sz w:val="18"/>
          <w:szCs w:val="18"/>
          <w:color w:val="343434"/>
        </w:rPr>
        <w:t>,</w:t>
      </w:r>
      <w:r>
        <w:rPr>
          <w:rFonts w:ascii="Arial" w:cs="Arial" w:eastAsia="Arial" w:hAnsi="Arial"/>
          <w:sz w:val="18"/>
          <w:szCs w:val="18"/>
          <w:color w:val="0F0F0F"/>
        </w:rPr>
        <w:t xml:space="preserve"> in obtaining proprietary protection for the Inventions and I will execute all documents that the Company reasonably requests in order to perfect the Company's rights in the Inventions. I hereby appoint the Company my attorney to execute and deliver any such documents on my behalf in the event I should fail or refuse to do so within a reasonable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32650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326505" cy="2540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-850265</wp:posOffset>
            </wp:positionV>
            <wp:extent cx="3429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ectPr>
          <w:pgSz w:w="11900" w:h="16838" w:orient="portrait"/>
          <w:cols w:equalWidth="0" w:num="1">
            <w:col w:w="9924"/>
          </w:cols>
          <w:pgMar w:left="976" w:top="108" w:right="999" w:bottom="1440" w:gutter="0" w:footer="0" w:header="0"/>
        </w:sectPr>
      </w:pPr>
    </w:p>
    <w:bookmarkStart w:id="40" w:name="page41"/>
    <w:bookmarkEnd w:id="40"/>
    <w:p>
      <w:pPr>
        <w:jc w:val="both"/>
        <w:ind w:right="40"/>
        <w:spacing w:after="0" w:line="230" w:lineRule="auto"/>
        <w:rPr>
          <w:sz w:val="20"/>
          <w:szCs w:val="20"/>
          <w:color w:val="auto"/>
        </w:rPr>
      </w:pPr>
      <w:r>
        <w:rPr>
          <w:rFonts w:ascii="Arial" w:cs="Arial" w:eastAsia="Arial" w:hAnsi="Arial"/>
          <w:sz w:val="19"/>
          <w:szCs w:val="19"/>
          <w:color w:val="0F0F0F"/>
        </w:rPr>
        <w:t>following the Company's request. I understand that</w:t>
      </w:r>
      <w:r>
        <w:rPr>
          <w:rFonts w:ascii="Arial" w:cs="Arial" w:eastAsia="Arial" w:hAnsi="Arial"/>
          <w:sz w:val="19"/>
          <w:szCs w:val="19"/>
          <w:color w:val="333333"/>
        </w:rPr>
        <w:t>,</w:t>
      </w:r>
      <w:r>
        <w:rPr>
          <w:rFonts w:ascii="Arial" w:cs="Arial" w:eastAsia="Arial" w:hAnsi="Arial"/>
          <w:sz w:val="19"/>
          <w:szCs w:val="19"/>
          <w:color w:val="0F0F0F"/>
        </w:rPr>
        <w:t xml:space="preserve"> to the extent this Agreement is construed in accordance with the laws of any </w:t>
      </w:r>
      <w:r>
        <w:rPr>
          <w:rFonts w:ascii="Arial" w:cs="Arial" w:eastAsia="Arial" w:hAnsi="Arial"/>
          <w:sz w:val="19"/>
          <w:szCs w:val="19"/>
          <w:color w:val="000000"/>
        </w:rPr>
        <w:t>country</w:t>
      </w:r>
      <w:r>
        <w:rPr>
          <w:rFonts w:ascii="Arial" w:cs="Arial" w:eastAsia="Arial" w:hAnsi="Arial"/>
          <w:sz w:val="19"/>
          <w:szCs w:val="19"/>
          <w:color w:val="0F0F0F"/>
        </w:rPr>
        <w:t xml:space="preserve"> or </w:t>
      </w:r>
      <w:r>
        <w:rPr>
          <w:rFonts w:ascii="Arial" w:cs="Arial" w:eastAsia="Arial" w:hAnsi="Arial"/>
          <w:sz w:val="19"/>
          <w:szCs w:val="19"/>
          <w:color w:val="232323"/>
        </w:rPr>
        <w:t>state</w:t>
      </w:r>
      <w:r>
        <w:rPr>
          <w:rFonts w:ascii="Arial" w:cs="Arial" w:eastAsia="Arial" w:hAnsi="Arial"/>
          <w:sz w:val="19"/>
          <w:szCs w:val="19"/>
          <w:color w:val="0F0F0F"/>
        </w:rPr>
        <w:t xml:space="preserve"> that limits the assignability to the Company of certain inventions, this Agreement will be interpreted not to apply to any such invention that a court rules or the Company agrees is subject to </w:t>
      </w:r>
      <w:r>
        <w:rPr>
          <w:rFonts w:ascii="Arial" w:cs="Arial" w:eastAsia="Arial" w:hAnsi="Arial"/>
          <w:sz w:val="19"/>
          <w:szCs w:val="19"/>
          <w:color w:val="232323"/>
        </w:rPr>
        <w:t>such</w:t>
      </w:r>
      <w:r>
        <w:rPr>
          <w:rFonts w:ascii="Arial" w:cs="Arial" w:eastAsia="Arial" w:hAnsi="Arial"/>
          <w:sz w:val="19"/>
          <w:szCs w:val="19"/>
          <w:color w:val="0F0F0F"/>
        </w:rPr>
        <w:t xml:space="preserve"> limitation.</w:t>
      </w:r>
    </w:p>
    <w:p>
      <w:pPr>
        <w:spacing w:after="0" w:line="130"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0F0F0F"/>
        </w:rPr>
        <w:t xml:space="preserve">3.3. </w:t>
      </w:r>
      <w:r>
        <w:rPr>
          <w:rFonts w:ascii="Arial" w:cs="Arial" w:eastAsia="Arial" w:hAnsi="Arial"/>
          <w:sz w:val="19"/>
          <w:szCs w:val="19"/>
          <w:u w:val="single" w:color="auto"/>
          <w:color w:val="0F0F0F"/>
        </w:rPr>
        <w:t>Works for Hire</w:t>
      </w:r>
      <w:r>
        <w:rPr>
          <w:rFonts w:ascii="Arial" w:cs="Arial" w:eastAsia="Arial" w:hAnsi="Arial"/>
          <w:sz w:val="19"/>
          <w:szCs w:val="19"/>
          <w:color w:val="333333"/>
        </w:rPr>
        <w:t>.</w:t>
      </w:r>
      <w:r>
        <w:rPr>
          <w:rFonts w:ascii="Arial" w:cs="Arial" w:eastAsia="Arial" w:hAnsi="Arial"/>
          <w:sz w:val="19"/>
          <w:szCs w:val="19"/>
          <w:color w:val="0F0F0F"/>
        </w:rPr>
        <w:t xml:space="preserve"> I acknowledge that all original works of authorship made by me (solely or jointly with others) within the </w:t>
      </w:r>
      <w:r>
        <w:rPr>
          <w:rFonts w:ascii="Arial" w:cs="Arial" w:eastAsia="Arial" w:hAnsi="Arial"/>
          <w:sz w:val="19"/>
          <w:szCs w:val="19"/>
          <w:color w:val="232323"/>
        </w:rPr>
        <w:t>scope</w:t>
      </w:r>
      <w:r>
        <w:rPr>
          <w:rFonts w:ascii="Arial" w:cs="Arial" w:eastAsia="Arial" w:hAnsi="Arial"/>
          <w:sz w:val="19"/>
          <w:szCs w:val="19"/>
          <w:color w:val="0F0F0F"/>
        </w:rPr>
        <w:t xml:space="preserve"> of my engagement as an Associate of the Company or any prior engagement by the </w:t>
      </w:r>
      <w:r>
        <w:rPr>
          <w:rFonts w:ascii="Arial" w:cs="Arial" w:eastAsia="Arial" w:hAnsi="Arial"/>
          <w:sz w:val="19"/>
          <w:szCs w:val="19"/>
          <w:color w:val="000000"/>
        </w:rPr>
        <w:t>Company</w:t>
      </w:r>
      <w:r>
        <w:rPr>
          <w:rFonts w:ascii="Arial" w:cs="Arial" w:eastAsia="Arial" w:hAnsi="Arial"/>
          <w:sz w:val="19"/>
          <w:szCs w:val="19"/>
          <w:color w:val="333333"/>
        </w:rPr>
        <w:t>,</w:t>
      </w:r>
      <w:r>
        <w:rPr>
          <w:rFonts w:ascii="Arial" w:cs="Arial" w:eastAsia="Arial" w:hAnsi="Arial"/>
          <w:sz w:val="19"/>
          <w:szCs w:val="19"/>
          <w:color w:val="0F0F0F"/>
        </w:rPr>
        <w:t xml:space="preserve"> that are protectable by copyright are intended to be </w:t>
      </w:r>
      <w:r>
        <w:rPr>
          <w:rFonts w:ascii="Arial" w:cs="Arial" w:eastAsia="Arial" w:hAnsi="Arial"/>
          <w:sz w:val="19"/>
          <w:szCs w:val="19"/>
          <w:color w:val="232323"/>
        </w:rPr>
        <w:t>"works</w:t>
      </w:r>
      <w:r>
        <w:rPr>
          <w:rFonts w:ascii="Arial" w:cs="Arial" w:eastAsia="Arial" w:hAnsi="Arial"/>
          <w:sz w:val="19"/>
          <w:szCs w:val="19"/>
          <w:color w:val="0F0F0F"/>
        </w:rPr>
        <w:t xml:space="preserve"> made for hire</w:t>
      </w:r>
      <w:r>
        <w:rPr>
          <w:rFonts w:ascii="Arial" w:cs="Arial" w:eastAsia="Arial" w:hAnsi="Arial"/>
          <w:sz w:val="19"/>
          <w:szCs w:val="19"/>
          <w:color w:val="333333"/>
        </w:rPr>
        <w:t>"</w:t>
      </w:r>
      <w:r>
        <w:rPr>
          <w:rFonts w:ascii="Arial" w:cs="Arial" w:eastAsia="Arial" w:hAnsi="Arial"/>
          <w:sz w:val="19"/>
          <w:szCs w:val="19"/>
          <w:color w:val="0F0F0F"/>
        </w:rPr>
        <w:t xml:space="preserve">, as that term is defined in Section 101 of the United States Copyright Act of 1976 (the </w:t>
      </w:r>
      <w:r>
        <w:rPr>
          <w:rFonts w:ascii="Arial" w:cs="Arial" w:eastAsia="Arial" w:hAnsi="Arial"/>
          <w:sz w:val="19"/>
          <w:szCs w:val="19"/>
          <w:u w:val="single" w:color="auto"/>
          <w:color w:val="232323"/>
        </w:rPr>
        <w:t>"Act"),</w:t>
      </w:r>
      <w:r>
        <w:rPr>
          <w:rFonts w:ascii="Arial" w:cs="Arial" w:eastAsia="Arial" w:hAnsi="Arial"/>
          <w:sz w:val="19"/>
          <w:szCs w:val="19"/>
          <w:color w:val="0F0F0F"/>
        </w:rPr>
        <w:t xml:space="preserve"> and will be the property of the Company and the Company will be the sole author within the meaning of the Act. If the copyright to any </w:t>
      </w:r>
      <w:r>
        <w:rPr>
          <w:rFonts w:ascii="Arial" w:cs="Arial" w:eastAsia="Arial" w:hAnsi="Arial"/>
          <w:sz w:val="19"/>
          <w:szCs w:val="19"/>
          <w:color w:val="232323"/>
        </w:rPr>
        <w:t>such</w:t>
      </w:r>
      <w:r>
        <w:rPr>
          <w:rFonts w:ascii="Arial" w:cs="Arial" w:eastAsia="Arial" w:hAnsi="Arial"/>
          <w:sz w:val="19"/>
          <w:szCs w:val="19"/>
          <w:color w:val="0F0F0F"/>
        </w:rPr>
        <w:t xml:space="preserve"> copyrightable work is not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w:t>
      </w:r>
      <w:r>
        <w:rPr>
          <w:rFonts w:ascii="Arial" w:cs="Arial" w:eastAsia="Arial" w:hAnsi="Arial"/>
          <w:sz w:val="19"/>
          <w:szCs w:val="19"/>
          <w:color w:val="232323"/>
        </w:rPr>
        <w:t>such</w:t>
      </w:r>
      <w:r>
        <w:rPr>
          <w:rFonts w:ascii="Arial" w:cs="Arial" w:eastAsia="Arial" w:hAnsi="Arial"/>
          <w:sz w:val="19"/>
          <w:szCs w:val="19"/>
          <w:color w:val="0F0F0F"/>
        </w:rPr>
        <w:t xml:space="preserve"> work</w:t>
      </w:r>
      <w:r>
        <w:rPr>
          <w:rFonts w:ascii="Arial" w:cs="Arial" w:eastAsia="Arial" w:hAnsi="Arial"/>
          <w:sz w:val="19"/>
          <w:szCs w:val="19"/>
          <w:color w:val="333333"/>
        </w:rPr>
        <w:t>.</w:t>
      </w:r>
      <w:r>
        <w:rPr>
          <w:rFonts w:ascii="Arial" w:cs="Arial" w:eastAsia="Arial" w:hAnsi="Arial"/>
          <w:sz w:val="19"/>
          <w:szCs w:val="19"/>
          <w:color w:val="0F0F0F"/>
        </w:rPr>
        <w:t xml:space="preserve"> I hereby waive all claims to moral rights </w:t>
      </w:r>
      <w:r>
        <w:rPr>
          <w:rFonts w:ascii="Arial" w:cs="Arial" w:eastAsia="Arial" w:hAnsi="Arial"/>
          <w:sz w:val="19"/>
          <w:szCs w:val="19"/>
          <w:b w:val="1"/>
          <w:bCs w:val="1"/>
          <w:color w:val="0F0F0F"/>
        </w:rPr>
        <w:t>in</w:t>
      </w:r>
      <w:r>
        <w:rPr>
          <w:rFonts w:ascii="Arial" w:cs="Arial" w:eastAsia="Arial" w:hAnsi="Arial"/>
          <w:sz w:val="19"/>
          <w:szCs w:val="19"/>
          <w:color w:val="0F0F0F"/>
        </w:rPr>
        <w:t xml:space="preserve"> any Inventions.</w:t>
      </w:r>
    </w:p>
    <w:p>
      <w:pPr>
        <w:spacing w:after="0" w:line="128" w:lineRule="exact"/>
        <w:rPr>
          <w:sz w:val="20"/>
          <w:szCs w:val="20"/>
          <w:color w:val="auto"/>
        </w:rPr>
      </w:pPr>
    </w:p>
    <w:p>
      <w:pPr>
        <w:ind w:right="180" w:firstLine="648"/>
        <w:spacing w:after="0" w:line="213" w:lineRule="auto"/>
        <w:rPr>
          <w:sz w:val="20"/>
          <w:szCs w:val="20"/>
          <w:color w:val="auto"/>
        </w:rPr>
      </w:pPr>
      <w:r>
        <w:rPr>
          <w:rFonts w:ascii="Arial" w:cs="Arial" w:eastAsia="Arial" w:hAnsi="Arial"/>
          <w:sz w:val="20"/>
          <w:szCs w:val="20"/>
          <w:color w:val="0F0F0F"/>
        </w:rPr>
        <w:t xml:space="preserve">3.4. </w:t>
      </w:r>
      <w:r>
        <w:rPr>
          <w:rFonts w:ascii="Arial" w:cs="Arial" w:eastAsia="Arial" w:hAnsi="Arial"/>
          <w:sz w:val="20"/>
          <w:szCs w:val="20"/>
          <w:u w:val="single" w:color="auto"/>
          <w:color w:val="0F0F0F"/>
        </w:rPr>
        <w:t>Records.</w:t>
      </w:r>
      <w:r>
        <w:rPr>
          <w:rFonts w:ascii="Arial" w:cs="Arial" w:eastAsia="Arial" w:hAnsi="Arial"/>
          <w:sz w:val="20"/>
          <w:szCs w:val="20"/>
          <w:color w:val="0F0F0F"/>
        </w:rPr>
        <w:t xml:space="preserve"> I agree to keep and maintain adequate and current records </w:t>
      </w:r>
      <w:r>
        <w:rPr>
          <w:rFonts w:ascii="Arial" w:cs="Arial" w:eastAsia="Arial" w:hAnsi="Arial"/>
          <w:sz w:val="20"/>
          <w:szCs w:val="20"/>
          <w:color w:val="232323"/>
        </w:rPr>
        <w:t>(in</w:t>
      </w:r>
      <w:r>
        <w:rPr>
          <w:rFonts w:ascii="Arial" w:cs="Arial" w:eastAsia="Arial" w:hAnsi="Arial"/>
          <w:sz w:val="20"/>
          <w:szCs w:val="20"/>
          <w:color w:val="0F0F0F"/>
        </w:rPr>
        <w:t xml:space="preserve"> the form of notes, sketches, drawings and </w:t>
      </w:r>
      <w:r>
        <w:rPr>
          <w:rFonts w:ascii="Arial" w:cs="Arial" w:eastAsia="Arial" w:hAnsi="Arial"/>
          <w:sz w:val="20"/>
          <w:szCs w:val="20"/>
          <w:b w:val="1"/>
          <w:bCs w:val="1"/>
          <w:color w:val="0F0F0F"/>
        </w:rPr>
        <w:t>in</w:t>
      </w:r>
      <w:r>
        <w:rPr>
          <w:rFonts w:ascii="Arial" w:cs="Arial" w:eastAsia="Arial" w:hAnsi="Arial"/>
          <w:sz w:val="20"/>
          <w:szCs w:val="20"/>
          <w:color w:val="0F0F0F"/>
        </w:rPr>
        <w:t xml:space="preserve"> any other form that may be required by the Company) of all Inventions made by me during the period of my engagement as an Associate of the Company or any prior engagement by the Company, which records will be available to and remain the </w:t>
      </w:r>
      <w:r>
        <w:rPr>
          <w:rFonts w:ascii="Arial" w:cs="Arial" w:eastAsia="Arial" w:hAnsi="Arial"/>
          <w:sz w:val="20"/>
          <w:szCs w:val="20"/>
          <w:color w:val="232323"/>
        </w:rPr>
        <w:t>sole</w:t>
      </w:r>
      <w:r>
        <w:rPr>
          <w:rFonts w:ascii="Arial" w:cs="Arial" w:eastAsia="Arial" w:hAnsi="Arial"/>
          <w:sz w:val="20"/>
          <w:szCs w:val="20"/>
          <w:color w:val="0F0F0F"/>
        </w:rPr>
        <w:t xml:space="preserve"> property of the Company at all times.</w:t>
      </w:r>
    </w:p>
    <w:p>
      <w:pPr>
        <w:spacing w:after="0" w:line="129" w:lineRule="exact"/>
        <w:rPr>
          <w:sz w:val="20"/>
          <w:szCs w:val="20"/>
          <w:color w:val="auto"/>
        </w:rPr>
      </w:pPr>
    </w:p>
    <w:p>
      <w:pPr>
        <w:ind w:firstLine="648"/>
        <w:spacing w:after="0" w:line="221" w:lineRule="auto"/>
        <w:rPr>
          <w:sz w:val="20"/>
          <w:szCs w:val="20"/>
          <w:color w:val="auto"/>
        </w:rPr>
      </w:pPr>
      <w:r>
        <w:rPr>
          <w:rFonts w:ascii="Arial" w:cs="Arial" w:eastAsia="Arial" w:hAnsi="Arial"/>
          <w:sz w:val="19"/>
          <w:szCs w:val="19"/>
          <w:color w:val="0F0F0F"/>
        </w:rPr>
        <w:t xml:space="preserve">3.5. </w:t>
      </w:r>
      <w:r>
        <w:rPr>
          <w:rFonts w:ascii="Arial" w:cs="Arial" w:eastAsia="Arial" w:hAnsi="Arial"/>
          <w:sz w:val="19"/>
          <w:szCs w:val="19"/>
          <w:u w:val="single" w:color="auto"/>
          <w:color w:val="0F0F0F"/>
        </w:rPr>
        <w:t>Obligation to Keep Company Informed.</w:t>
      </w:r>
      <w:r>
        <w:rPr>
          <w:rFonts w:ascii="Arial" w:cs="Arial" w:eastAsia="Arial" w:hAnsi="Arial"/>
          <w:sz w:val="19"/>
          <w:szCs w:val="19"/>
          <w:color w:val="0F0F0F"/>
        </w:rPr>
        <w:t xml:space="preserve"> During the period of my engagement as an Associate of the Company, and for six months after termination of my engagement as an Associate of the Company, I agree to promptly disclose to the Company fully and in writing all Inventions authored</w:t>
      </w:r>
      <w:r>
        <w:rPr>
          <w:rFonts w:ascii="Arial" w:cs="Arial" w:eastAsia="Arial" w:hAnsi="Arial"/>
          <w:sz w:val="19"/>
          <w:szCs w:val="19"/>
          <w:color w:val="333333"/>
        </w:rPr>
        <w:t>,</w:t>
      </w:r>
      <w:r>
        <w:rPr>
          <w:rFonts w:ascii="Arial" w:cs="Arial" w:eastAsia="Arial" w:hAnsi="Arial"/>
          <w:sz w:val="19"/>
          <w:szCs w:val="19"/>
          <w:color w:val="0F0F0F"/>
        </w:rPr>
        <w:t xml:space="preserve"> conceived or reduced to practice by me, either alone or jointly with others</w:t>
      </w:r>
      <w:r>
        <w:rPr>
          <w:rFonts w:ascii="Arial" w:cs="Arial" w:eastAsia="Arial" w:hAnsi="Arial"/>
          <w:sz w:val="19"/>
          <w:szCs w:val="19"/>
          <w:color w:val="333333"/>
        </w:rPr>
        <w:t>.</w:t>
      </w:r>
      <w:r>
        <w:rPr>
          <w:rFonts w:ascii="Arial" w:cs="Arial" w:eastAsia="Arial" w:hAnsi="Arial"/>
          <w:sz w:val="19"/>
          <w:szCs w:val="19"/>
          <w:color w:val="0F0F0F"/>
        </w:rPr>
        <w:t xml:space="preserve"> In addition, I will promptly disclose to the Company all patent applications filed by me or on my behalf within one year after termination of my engagement as an Associate of the Company.</w:t>
      </w:r>
    </w:p>
    <w:p>
      <w:pPr>
        <w:spacing w:after="0" w:line="128" w:lineRule="exact"/>
        <w:rPr>
          <w:sz w:val="20"/>
          <w:szCs w:val="20"/>
          <w:color w:val="auto"/>
        </w:rPr>
      </w:pPr>
    </w:p>
    <w:p>
      <w:pPr>
        <w:ind w:right="60" w:firstLine="648"/>
        <w:spacing w:after="0" w:line="213" w:lineRule="auto"/>
        <w:rPr>
          <w:sz w:val="20"/>
          <w:szCs w:val="20"/>
          <w:color w:val="auto"/>
        </w:rPr>
      </w:pPr>
      <w:r>
        <w:rPr>
          <w:rFonts w:ascii="Arial" w:cs="Arial" w:eastAsia="Arial" w:hAnsi="Arial"/>
          <w:sz w:val="19"/>
          <w:szCs w:val="19"/>
          <w:color w:val="0F0F0F"/>
        </w:rPr>
        <w:t xml:space="preserve">3.6. </w:t>
      </w:r>
      <w:r>
        <w:rPr>
          <w:rFonts w:ascii="Arial" w:cs="Arial" w:eastAsia="Arial" w:hAnsi="Arial"/>
          <w:sz w:val="19"/>
          <w:szCs w:val="19"/>
          <w:u w:val="single" w:color="auto"/>
          <w:color w:val="0F0F0F"/>
        </w:rPr>
        <w:t>Prior Inventions.</w:t>
      </w:r>
      <w:r>
        <w:rPr>
          <w:rFonts w:ascii="Arial" w:cs="Arial" w:eastAsia="Arial" w:hAnsi="Arial"/>
          <w:sz w:val="19"/>
          <w:szCs w:val="19"/>
          <w:color w:val="0F0F0F"/>
        </w:rPr>
        <w:t xml:space="preserve"> I further represent that the attached </w:t>
      </w:r>
      <w:r>
        <w:rPr>
          <w:rFonts w:ascii="Arial" w:cs="Arial" w:eastAsia="Arial" w:hAnsi="Arial"/>
          <w:sz w:val="19"/>
          <w:szCs w:val="19"/>
          <w:u w:val="single" w:color="auto"/>
          <w:color w:val="0F0F0F"/>
        </w:rPr>
        <w:t>Schedule A</w:t>
      </w:r>
      <w:r>
        <w:rPr>
          <w:rFonts w:ascii="Arial" w:cs="Arial" w:eastAsia="Arial" w:hAnsi="Arial"/>
          <w:sz w:val="19"/>
          <w:szCs w:val="19"/>
          <w:color w:val="0F0F0F"/>
        </w:rPr>
        <w:t xml:space="preserve"> contains a complete list of all Prior Inventions. I agree to update and/or amend </w:t>
      </w:r>
      <w:r>
        <w:rPr>
          <w:rFonts w:ascii="Arial" w:cs="Arial" w:eastAsia="Arial" w:hAnsi="Arial"/>
          <w:sz w:val="19"/>
          <w:szCs w:val="19"/>
          <w:u w:val="single" w:color="auto"/>
          <w:color w:val="0F0F0F"/>
        </w:rPr>
        <w:t>Schedule A</w:t>
      </w:r>
      <w:r>
        <w:rPr>
          <w:rFonts w:ascii="Arial" w:cs="Arial" w:eastAsia="Arial" w:hAnsi="Arial"/>
          <w:sz w:val="19"/>
          <w:szCs w:val="19"/>
          <w:color w:val="0F0F0F"/>
        </w:rPr>
        <w:t xml:space="preserve"> during my employment as may be necessary and to promptly notify the </w:t>
      </w:r>
      <w:r>
        <w:rPr>
          <w:rFonts w:ascii="Arial" w:cs="Arial" w:eastAsia="Arial" w:hAnsi="Arial"/>
          <w:sz w:val="19"/>
          <w:szCs w:val="19"/>
          <w:color w:val="000000"/>
        </w:rPr>
        <w:t>Company</w:t>
      </w:r>
      <w:r>
        <w:rPr>
          <w:rFonts w:ascii="Arial" w:cs="Arial" w:eastAsia="Arial" w:hAnsi="Arial"/>
          <w:sz w:val="19"/>
          <w:szCs w:val="19"/>
          <w:color w:val="0F0F0F"/>
        </w:rPr>
        <w:t xml:space="preserve"> of the same. Such Prior Inventions are considered to be my property or the property of third parties and are not assigned to the Company hereunder. If there is no such </w:t>
      </w:r>
      <w:r>
        <w:rPr>
          <w:rFonts w:ascii="Arial" w:cs="Arial" w:eastAsia="Arial" w:hAnsi="Arial"/>
          <w:sz w:val="19"/>
          <w:szCs w:val="19"/>
          <w:u w:val="single" w:color="auto"/>
          <w:color w:val="0F0F0F"/>
        </w:rPr>
        <w:t>Schedule A</w:t>
      </w:r>
      <w:r>
        <w:rPr>
          <w:rFonts w:ascii="Arial" w:cs="Arial" w:eastAsia="Arial" w:hAnsi="Arial"/>
          <w:sz w:val="19"/>
          <w:szCs w:val="19"/>
          <w:color w:val="0F0F0F"/>
        </w:rPr>
        <w:t xml:space="preserve"> attached hereto, I represent that there are no such Prior Inventions. If I am claiming </w:t>
      </w:r>
      <w:r>
        <w:rPr>
          <w:rFonts w:ascii="Arial" w:cs="Arial" w:eastAsia="Arial" w:hAnsi="Arial"/>
          <w:sz w:val="19"/>
          <w:szCs w:val="19"/>
          <w:color w:val="232323"/>
        </w:rPr>
        <w:t>any</w:t>
      </w:r>
      <w:r>
        <w:rPr>
          <w:rFonts w:ascii="Arial" w:cs="Arial" w:eastAsia="Arial" w:hAnsi="Arial"/>
          <w:sz w:val="19"/>
          <w:szCs w:val="19"/>
          <w:color w:val="0F0F0F"/>
        </w:rPr>
        <w:t xml:space="preserve"> Prior Inventions on </w:t>
      </w:r>
      <w:r>
        <w:rPr>
          <w:rFonts w:ascii="Arial" w:cs="Arial" w:eastAsia="Arial" w:hAnsi="Arial"/>
          <w:sz w:val="19"/>
          <w:szCs w:val="19"/>
          <w:u w:val="single" w:color="auto"/>
          <w:color w:val="0F0F0F"/>
        </w:rPr>
        <w:t>Schedule A,</w:t>
      </w:r>
      <w:r>
        <w:rPr>
          <w:rFonts w:ascii="Arial" w:cs="Arial" w:eastAsia="Arial" w:hAnsi="Arial"/>
          <w:sz w:val="19"/>
          <w:szCs w:val="19"/>
          <w:color w:val="0F0F0F"/>
        </w:rPr>
        <w:t xml:space="preserve"> I agree that, if in the course of my engagement as an Associate of the Company or any prior engagement by the Company, I incorporate any Prior Invention into a Company product, process or machine, the Company will automatically be granted and will have a non-exclusive, royalty-free, irrevocable, transferable, perpetual, world-wide license (with rights to sublicense) to make, have made, modify, use and sell </w:t>
      </w:r>
      <w:r>
        <w:rPr>
          <w:rFonts w:ascii="Arial" w:cs="Arial" w:eastAsia="Arial" w:hAnsi="Arial"/>
          <w:sz w:val="19"/>
          <w:szCs w:val="19"/>
          <w:color w:val="232323"/>
        </w:rPr>
        <w:t xml:space="preserve">such </w:t>
      </w:r>
      <w:r>
        <w:rPr>
          <w:rFonts w:ascii="Arial" w:cs="Arial" w:eastAsia="Arial" w:hAnsi="Arial"/>
          <w:sz w:val="19"/>
          <w:szCs w:val="19"/>
          <w:color w:val="0F0F0F"/>
        </w:rPr>
        <w:t>Prior Invention as part of</w:t>
      </w:r>
      <w:r>
        <w:rPr>
          <w:rFonts w:ascii="Arial" w:cs="Arial" w:eastAsia="Arial" w:hAnsi="Arial"/>
          <w:sz w:val="19"/>
          <w:szCs w:val="19"/>
          <w:color w:val="333333"/>
        </w:rPr>
        <w:t>,</w:t>
      </w:r>
      <w:r>
        <w:rPr>
          <w:rFonts w:ascii="Arial" w:cs="Arial" w:eastAsia="Arial" w:hAnsi="Arial"/>
          <w:sz w:val="19"/>
          <w:szCs w:val="19"/>
          <w:color w:val="232323"/>
        </w:rPr>
        <w:t xml:space="preserve"> </w:t>
      </w:r>
      <w:r>
        <w:rPr>
          <w:rFonts w:ascii="Arial" w:cs="Arial" w:eastAsia="Arial" w:hAnsi="Arial"/>
          <w:sz w:val="19"/>
          <w:szCs w:val="19"/>
          <w:color w:val="0F0F0F"/>
        </w:rPr>
        <w:t>or in connection with, such product, process or machine. Notwithstanding the foregoing, I</w:t>
      </w:r>
      <w:r>
        <w:rPr>
          <w:rFonts w:ascii="Arial" w:cs="Arial" w:eastAsia="Arial" w:hAnsi="Arial"/>
          <w:sz w:val="19"/>
          <w:szCs w:val="19"/>
          <w:color w:val="232323"/>
        </w:rPr>
        <w:t xml:space="preserve"> </w:t>
      </w:r>
      <w:r>
        <w:rPr>
          <w:rFonts w:ascii="Arial" w:cs="Arial" w:eastAsia="Arial" w:hAnsi="Arial"/>
          <w:sz w:val="19"/>
          <w:szCs w:val="19"/>
          <w:color w:val="0F0F0F"/>
        </w:rPr>
        <w:t>agree that I will not incorporate</w:t>
      </w:r>
      <w:r>
        <w:rPr>
          <w:rFonts w:ascii="Arial" w:cs="Arial" w:eastAsia="Arial" w:hAnsi="Arial"/>
          <w:sz w:val="19"/>
          <w:szCs w:val="19"/>
          <w:color w:val="333333"/>
        </w:rPr>
        <w:t>,</w:t>
      </w:r>
      <w:r>
        <w:rPr>
          <w:rFonts w:ascii="Arial" w:cs="Arial" w:eastAsia="Arial" w:hAnsi="Arial"/>
          <w:sz w:val="19"/>
          <w:szCs w:val="19"/>
          <w:color w:val="0F0F0F"/>
        </w:rPr>
        <w:t xml:space="preserve"> or permit to be incorporated, Prior Inventions in any Company Inventions without the Company</w:t>
      </w:r>
      <w:r>
        <w:rPr>
          <w:rFonts w:ascii="Arial" w:cs="Arial" w:eastAsia="Arial" w:hAnsi="Arial"/>
          <w:sz w:val="19"/>
          <w:szCs w:val="19"/>
          <w:color w:val="333333"/>
        </w:rPr>
        <w:t>'</w:t>
      </w:r>
      <w:r>
        <w:rPr>
          <w:rFonts w:ascii="Arial" w:cs="Arial" w:eastAsia="Arial" w:hAnsi="Arial"/>
          <w:sz w:val="19"/>
          <w:szCs w:val="19"/>
          <w:color w:val="0F0F0F"/>
        </w:rPr>
        <w:t xml:space="preserve"> 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632650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1" w:name="page42"/>
    <w:bookmarkEnd w:id="41"/>
    <w:p>
      <w:pPr>
        <w:spacing w:after="0"/>
        <w:tabs>
          <w:tab w:leader="none" w:pos="320" w:val="left"/>
        </w:tabs>
        <w:rPr>
          <w:sz w:val="20"/>
          <w:szCs w:val="20"/>
          <w:color w:val="auto"/>
        </w:rPr>
      </w:pPr>
      <w:r>
        <w:rPr>
          <w:rFonts w:ascii="Arial" w:cs="Arial" w:eastAsia="Arial" w:hAnsi="Arial"/>
          <w:sz w:val="20"/>
          <w:szCs w:val="20"/>
          <w:color w:val="0F0F0F"/>
        </w:rPr>
        <w:t>4.</w:t>
      </w:r>
      <w:r>
        <w:rPr>
          <w:sz w:val="20"/>
          <w:szCs w:val="20"/>
          <w:color w:val="auto"/>
        </w:rPr>
        <w:tab/>
      </w:r>
      <w:r>
        <w:rPr>
          <w:rFonts w:ascii="Arial" w:cs="Arial" w:eastAsia="Arial" w:hAnsi="Arial"/>
          <w:sz w:val="18"/>
          <w:szCs w:val="18"/>
          <w:color w:val="0F0F0F"/>
        </w:rPr>
        <w:t xml:space="preserve">OTHER </w:t>
      </w:r>
      <w:r>
        <w:rPr>
          <w:rFonts w:ascii="Arial" w:cs="Arial" w:eastAsia="Arial" w:hAnsi="Arial"/>
          <w:sz w:val="18"/>
          <w:szCs w:val="18"/>
          <w:color w:val="000000"/>
        </w:rPr>
        <w:t>AGREEMENTS</w:t>
      </w:r>
      <w:r>
        <w:rPr>
          <w:rFonts w:ascii="Arial" w:cs="Arial" w:eastAsia="Arial" w:hAnsi="Arial"/>
          <w:sz w:val="18"/>
          <w:szCs w:val="18"/>
          <w:color w:val="0F0F0F"/>
        </w:rPr>
        <w:t>.</w:t>
      </w:r>
    </w:p>
    <w:p>
      <w:pPr>
        <w:spacing w:after="0" w:line="150" w:lineRule="exact"/>
        <w:rPr>
          <w:sz w:val="20"/>
          <w:szCs w:val="20"/>
          <w:color w:val="auto"/>
        </w:rPr>
      </w:pPr>
    </w:p>
    <w:p>
      <w:pPr>
        <w:ind w:right="140" w:firstLine="648"/>
        <w:spacing w:after="0" w:line="221" w:lineRule="auto"/>
        <w:rPr>
          <w:sz w:val="20"/>
          <w:szCs w:val="20"/>
          <w:color w:val="auto"/>
        </w:rPr>
      </w:pPr>
      <w:r>
        <w:rPr>
          <w:rFonts w:ascii="Arial" w:cs="Arial" w:eastAsia="Arial" w:hAnsi="Arial"/>
          <w:sz w:val="19"/>
          <w:szCs w:val="19"/>
          <w:color w:val="0F0F0F"/>
        </w:rPr>
        <w:t xml:space="preserve">4.1. </w:t>
      </w:r>
      <w:r>
        <w:rPr>
          <w:rFonts w:ascii="Arial" w:cs="Arial" w:eastAsia="Arial" w:hAnsi="Arial"/>
          <w:sz w:val="19"/>
          <w:szCs w:val="19"/>
          <w:u w:val="single" w:color="auto"/>
          <w:color w:val="0F0F0F"/>
        </w:rPr>
        <w:t>No Conflicting Obligations.</w:t>
      </w:r>
      <w:r>
        <w:rPr>
          <w:rFonts w:ascii="Arial" w:cs="Arial" w:eastAsia="Arial" w:hAnsi="Arial"/>
          <w:sz w:val="19"/>
          <w:szCs w:val="19"/>
          <w:color w:val="0F0F0F"/>
        </w:rPr>
        <w:t xml:space="preserve"> I hereby represent to the Company that, except as identified on </w:t>
      </w:r>
      <w:r>
        <w:rPr>
          <w:rFonts w:ascii="Arial" w:cs="Arial" w:eastAsia="Arial" w:hAnsi="Arial"/>
          <w:sz w:val="19"/>
          <w:szCs w:val="19"/>
          <w:u w:val="single" w:color="auto"/>
          <w:color w:val="0F0F0F"/>
        </w:rPr>
        <w:t>Schedule B,</w:t>
      </w:r>
      <w:r>
        <w:rPr>
          <w:rFonts w:ascii="Arial" w:cs="Arial" w:eastAsia="Arial" w:hAnsi="Arial"/>
          <w:sz w:val="19"/>
          <w:szCs w:val="19"/>
          <w:color w:val="0F0F0F"/>
        </w:rPr>
        <w:t xml:space="preserve"> I am not bound by any agreement or any other previous or existing business relationship that conflicts with or prevents the full performance of my duties and </w:t>
      </w:r>
      <w:r>
        <w:rPr>
          <w:rFonts w:ascii="Arial" w:cs="Arial" w:eastAsia="Arial" w:hAnsi="Arial"/>
          <w:sz w:val="19"/>
          <w:szCs w:val="19"/>
          <w:color w:val="000000"/>
        </w:rPr>
        <w:t>obligations</w:t>
      </w:r>
      <w:r>
        <w:rPr>
          <w:rFonts w:ascii="Arial" w:cs="Arial" w:eastAsia="Arial" w:hAnsi="Arial"/>
          <w:sz w:val="19"/>
          <w:szCs w:val="19"/>
          <w:color w:val="0F0F0F"/>
        </w:rPr>
        <w:t xml:space="preserve"> to the Company (including my duties and obligations under this or any other agreement with the Company) during my engagement as an Associate of the Company. I agree I will not enter into any agreement, either written or oral</w:t>
      </w:r>
      <w:r>
        <w:rPr>
          <w:rFonts w:ascii="Arial" w:cs="Arial" w:eastAsia="Arial" w:hAnsi="Arial"/>
          <w:sz w:val="19"/>
          <w:szCs w:val="19"/>
          <w:color w:val="2D2D2D"/>
        </w:rPr>
        <w:t>,</w:t>
      </w:r>
      <w:r>
        <w:rPr>
          <w:rFonts w:ascii="Arial" w:cs="Arial" w:eastAsia="Arial" w:hAnsi="Arial"/>
          <w:sz w:val="19"/>
          <w:szCs w:val="19"/>
          <w:color w:val="0F0F0F"/>
        </w:rPr>
        <w:t xml:space="preserve"> that conflicts with this Agreement.</w:t>
      </w:r>
    </w:p>
    <w:p>
      <w:pPr>
        <w:spacing w:after="0" w:line="128" w:lineRule="exact"/>
        <w:rPr>
          <w:sz w:val="20"/>
          <w:szCs w:val="20"/>
          <w:color w:val="auto"/>
        </w:rPr>
      </w:pPr>
    </w:p>
    <w:p>
      <w:pPr>
        <w:ind w:right="60" w:firstLine="648"/>
        <w:spacing w:after="0" w:line="218" w:lineRule="auto"/>
        <w:rPr>
          <w:sz w:val="20"/>
          <w:szCs w:val="20"/>
          <w:color w:val="auto"/>
        </w:rPr>
      </w:pPr>
      <w:r>
        <w:rPr>
          <w:rFonts w:ascii="Arial" w:cs="Arial" w:eastAsia="Arial" w:hAnsi="Arial"/>
          <w:sz w:val="19"/>
          <w:szCs w:val="19"/>
          <w:color w:val="0F0F0F"/>
        </w:rPr>
        <w:t xml:space="preserve">4.2. </w:t>
      </w:r>
      <w:r>
        <w:rPr>
          <w:rFonts w:ascii="Arial" w:cs="Arial" w:eastAsia="Arial" w:hAnsi="Arial"/>
          <w:sz w:val="19"/>
          <w:szCs w:val="19"/>
          <w:u w:val="single" w:color="auto"/>
          <w:color w:val="0F0F0F"/>
        </w:rPr>
        <w:t>No Improper Use of Information of Prior Employers or Others.</w:t>
      </w:r>
      <w:r>
        <w:rPr>
          <w:rFonts w:ascii="Arial" w:cs="Arial" w:eastAsia="Arial" w:hAnsi="Arial"/>
          <w:sz w:val="19"/>
          <w:szCs w:val="19"/>
          <w:color w:val="0F0F0F"/>
        </w:rPr>
        <w:t xml:space="preserve"> I understand that 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w:t>
      </w:r>
      <w:r>
        <w:rPr>
          <w:rFonts w:ascii="Arial" w:cs="Arial" w:eastAsia="Arial" w:hAnsi="Arial"/>
          <w:sz w:val="19"/>
          <w:szCs w:val="19"/>
          <w:color w:val="000000"/>
        </w:rPr>
        <w:t>or</w:t>
      </w:r>
      <w:r>
        <w:rPr>
          <w:rFonts w:ascii="Arial" w:cs="Arial" w:eastAsia="Arial" w:hAnsi="Arial"/>
          <w:sz w:val="19"/>
          <w:szCs w:val="19"/>
          <w:color w:val="0F0F0F"/>
        </w:rPr>
        <w:t xml:space="preserve"> to whom I owe a duty to keep such information in confidence. Those persons or entities with whom I have such agreements or to whom I owe such a duty are identified on </w:t>
      </w:r>
      <w:r>
        <w:rPr>
          <w:rFonts w:ascii="Arial" w:cs="Arial" w:eastAsia="Arial" w:hAnsi="Arial"/>
          <w:sz w:val="19"/>
          <w:szCs w:val="19"/>
          <w:u w:val="single" w:color="auto"/>
          <w:color w:val="0F0F0F"/>
        </w:rPr>
        <w:t>Schedule B.</w:t>
      </w:r>
    </w:p>
    <w:p>
      <w:pPr>
        <w:spacing w:after="0" w:line="132" w:lineRule="exact"/>
        <w:rPr>
          <w:sz w:val="20"/>
          <w:szCs w:val="20"/>
          <w:color w:val="auto"/>
        </w:rPr>
      </w:pPr>
    </w:p>
    <w:p>
      <w:pPr>
        <w:ind w:firstLine="644"/>
        <w:spacing w:after="0" w:line="222" w:lineRule="auto"/>
        <w:tabs>
          <w:tab w:leader="none" w:pos="994" w:val="left"/>
        </w:tabs>
        <w:numPr>
          <w:ilvl w:val="1"/>
          <w:numId w:val="17"/>
        </w:numPr>
        <w:rPr>
          <w:rFonts w:ascii="Arial" w:cs="Arial" w:eastAsia="Arial" w:hAnsi="Arial"/>
          <w:sz w:val="18"/>
          <w:szCs w:val="18"/>
          <w:color w:val="0F0F0F"/>
        </w:rPr>
      </w:pPr>
      <w:r>
        <w:rPr>
          <w:rFonts w:ascii="Arial" w:cs="Arial" w:eastAsia="Arial" w:hAnsi="Arial"/>
          <w:sz w:val="18"/>
          <w:szCs w:val="18"/>
          <w:color w:val="0F0F0F"/>
        </w:rPr>
        <w:t xml:space="preserve">NON-COMPETITION. I agree that while I am engaged as an Associate of the Company and for a period of one year after termination or cessation of such engagement for any reason, I will not, without the Company's prior written consent, directly or </w:t>
      </w:r>
      <w:r>
        <w:rPr>
          <w:rFonts w:ascii="Arial" w:cs="Arial" w:eastAsia="Arial" w:hAnsi="Arial"/>
          <w:sz w:val="18"/>
          <w:szCs w:val="18"/>
          <w:color w:val="000000"/>
        </w:rPr>
        <w:t>indirectly</w:t>
      </w:r>
      <w:r>
        <w:rPr>
          <w:rFonts w:ascii="Arial" w:cs="Arial" w:eastAsia="Arial" w:hAnsi="Arial"/>
          <w:sz w:val="18"/>
          <w:szCs w:val="18"/>
          <w:color w:val="2D2D2D"/>
        </w:rPr>
        <w:t>,</w:t>
      </w:r>
      <w:r>
        <w:rPr>
          <w:rFonts w:ascii="Arial" w:cs="Arial" w:eastAsia="Arial" w:hAnsi="Arial"/>
          <w:sz w:val="18"/>
          <w:szCs w:val="18"/>
          <w:color w:val="0F0F0F"/>
        </w:rPr>
        <w:t xml:space="preserve"> as a principal</w:t>
      </w:r>
      <w:r>
        <w:rPr>
          <w:rFonts w:ascii="Arial" w:cs="Arial" w:eastAsia="Arial" w:hAnsi="Arial"/>
          <w:sz w:val="18"/>
          <w:szCs w:val="18"/>
          <w:color w:val="2D2D2D"/>
        </w:rPr>
        <w:t>,</w:t>
      </w:r>
      <w:r>
        <w:rPr>
          <w:rFonts w:ascii="Arial" w:cs="Arial" w:eastAsia="Arial" w:hAnsi="Arial"/>
          <w:sz w:val="18"/>
          <w:szCs w:val="18"/>
          <w:color w:val="0F0F0F"/>
        </w:rPr>
        <w:t xml:space="preserve"> employee, consultant, partner</w:t>
      </w:r>
      <w:r>
        <w:rPr>
          <w:rFonts w:ascii="Arial" w:cs="Arial" w:eastAsia="Arial" w:hAnsi="Arial"/>
          <w:sz w:val="18"/>
          <w:szCs w:val="18"/>
          <w:color w:val="2D2D2D"/>
        </w:rPr>
        <w:t>,</w:t>
      </w:r>
      <w:r>
        <w:rPr>
          <w:rFonts w:ascii="Arial" w:cs="Arial" w:eastAsia="Arial" w:hAnsi="Arial"/>
          <w:sz w:val="18"/>
          <w:szCs w:val="18"/>
          <w:color w:val="0F0F0F"/>
        </w:rPr>
        <w:t xml:space="preserve"> or stockholder of, or in any other capacity with, any business enterprise (other than in my capacity as a holder of not more than 1</w:t>
      </w:r>
      <w:r>
        <w:rPr>
          <w:rFonts w:ascii="Arial" w:cs="Arial" w:eastAsia="Arial" w:hAnsi="Arial"/>
          <w:sz w:val="18"/>
          <w:szCs w:val="18"/>
          <w:color w:val="2D2D2D"/>
        </w:rPr>
        <w:t>%</w:t>
      </w:r>
      <w:r>
        <w:rPr>
          <w:rFonts w:ascii="Arial" w:cs="Arial" w:eastAsia="Arial" w:hAnsi="Arial"/>
          <w:sz w:val="18"/>
          <w:szCs w:val="18"/>
          <w:color w:val="0F0F0F"/>
        </w:rPr>
        <w:t xml:space="preserve"> of the combined voting power of the outstanding stock of a publicly held company) (a) engage in direct or indirect competition with the Company or its Affiliates</w:t>
      </w:r>
      <w:r>
        <w:rPr>
          <w:rFonts w:ascii="Arial" w:cs="Arial" w:eastAsia="Arial" w:hAnsi="Arial"/>
          <w:sz w:val="18"/>
          <w:szCs w:val="18"/>
          <w:color w:val="2D2D2D"/>
        </w:rPr>
        <w:t>,</w:t>
      </w:r>
    </w:p>
    <w:p>
      <w:pPr>
        <w:spacing w:after="0" w:line="3" w:lineRule="exact"/>
        <w:rPr>
          <w:rFonts w:ascii="Arial" w:cs="Arial" w:eastAsia="Arial" w:hAnsi="Arial"/>
          <w:sz w:val="18"/>
          <w:szCs w:val="18"/>
          <w:color w:val="0F0F0F"/>
        </w:rPr>
      </w:pPr>
    </w:p>
    <w:p>
      <w:pPr>
        <w:ind w:right="120" w:firstLine="45"/>
        <w:spacing w:after="0" w:line="213" w:lineRule="auto"/>
        <w:tabs>
          <w:tab w:leader="none" w:pos="330" w:val="left"/>
        </w:tabs>
        <w:numPr>
          <w:ilvl w:val="0"/>
          <w:numId w:val="18"/>
        </w:numPr>
        <w:rPr>
          <w:rFonts w:ascii="Arial" w:cs="Arial" w:eastAsia="Arial" w:hAnsi="Arial"/>
          <w:sz w:val="20"/>
          <w:szCs w:val="20"/>
          <w:color w:val="0F0F0F"/>
        </w:rPr>
      </w:pPr>
      <w:r>
        <w:rPr>
          <w:rFonts w:ascii="Arial" w:cs="Arial" w:eastAsia="Arial" w:hAnsi="Arial"/>
          <w:sz w:val="20"/>
          <w:szCs w:val="20"/>
          <w:color w:val="0F0F0F"/>
        </w:rPr>
        <w:t>conduct a business of the type or character engaged in by the Company or its Affiliates at the time of termination or cessation of my engagement as an Associate of the Company</w:t>
      </w:r>
      <w:r>
        <w:rPr>
          <w:rFonts w:ascii="Arial" w:cs="Arial" w:eastAsia="Arial" w:hAnsi="Arial"/>
          <w:sz w:val="20"/>
          <w:szCs w:val="20"/>
          <w:color w:val="2D2D2D"/>
        </w:rPr>
        <w:t>,</w:t>
      </w:r>
      <w:r>
        <w:rPr>
          <w:rFonts w:ascii="Arial" w:cs="Arial" w:eastAsia="Arial" w:hAnsi="Arial"/>
          <w:sz w:val="20"/>
          <w:szCs w:val="20"/>
          <w:color w:val="0F0F0F"/>
        </w:rPr>
        <w:t xml:space="preserve"> or (c) develop products or services competitive with those of the Company or its Affiliates.</w:t>
      </w:r>
    </w:p>
    <w:p>
      <w:pPr>
        <w:spacing w:after="0" w:line="127" w:lineRule="exact"/>
        <w:rPr>
          <w:rFonts w:ascii="Arial" w:cs="Arial" w:eastAsia="Arial" w:hAnsi="Arial"/>
          <w:sz w:val="20"/>
          <w:szCs w:val="20"/>
          <w:color w:val="0F0F0F"/>
        </w:rPr>
      </w:pPr>
    </w:p>
    <w:p>
      <w:pPr>
        <w:ind w:right="80" w:firstLine="644"/>
        <w:spacing w:after="0" w:line="210" w:lineRule="auto"/>
        <w:tabs>
          <w:tab w:leader="none" w:pos="994" w:val="left"/>
        </w:tabs>
        <w:numPr>
          <w:ilvl w:val="1"/>
          <w:numId w:val="18"/>
        </w:numPr>
        <w:rPr>
          <w:rFonts w:ascii="Arial" w:cs="Arial" w:eastAsia="Arial" w:hAnsi="Arial"/>
          <w:sz w:val="20"/>
          <w:szCs w:val="20"/>
          <w:color w:val="0F0F0F"/>
        </w:rPr>
      </w:pPr>
      <w:r>
        <w:rPr>
          <w:rFonts w:ascii="Arial" w:cs="Arial" w:eastAsia="Arial" w:hAnsi="Arial"/>
          <w:sz w:val="20"/>
          <w:szCs w:val="20"/>
          <w:color w:val="0F0F0F"/>
        </w:rPr>
        <w:t>GENERAL NON-SOLICITATION. I agree that while I am engaged as an Associate of the Company and for a period of one year after termination or cessation of such engagement for any reason, I will not solicit, divert or take away, or attempt to divert or take away, the business or patronage of any of the clients</w:t>
      </w:r>
      <w:r>
        <w:rPr>
          <w:rFonts w:ascii="Arial" w:cs="Arial" w:eastAsia="Arial" w:hAnsi="Arial"/>
          <w:sz w:val="20"/>
          <w:szCs w:val="20"/>
          <w:color w:val="2D2D2D"/>
        </w:rPr>
        <w:t>,</w:t>
      </w:r>
      <w:r>
        <w:rPr>
          <w:rFonts w:ascii="Arial" w:cs="Arial" w:eastAsia="Arial" w:hAnsi="Arial"/>
          <w:sz w:val="20"/>
          <w:szCs w:val="20"/>
          <w:color w:val="0F0F0F"/>
        </w:rPr>
        <w:t xml:space="preserve"> customers or accounts, or prospective clients, customers </w:t>
      </w:r>
      <w:r>
        <w:rPr>
          <w:rFonts w:ascii="Arial" w:cs="Arial" w:eastAsia="Arial" w:hAnsi="Arial"/>
          <w:sz w:val="20"/>
          <w:szCs w:val="20"/>
          <w:color w:val="000000"/>
        </w:rPr>
        <w:t>or</w:t>
      </w:r>
      <w:r>
        <w:rPr>
          <w:rFonts w:ascii="Arial" w:cs="Arial" w:eastAsia="Arial" w:hAnsi="Arial"/>
          <w:sz w:val="20"/>
          <w:szCs w:val="20"/>
          <w:color w:val="0F0F0F"/>
        </w:rPr>
        <w:t xml:space="preserve"> accounts</w:t>
      </w:r>
      <w:r>
        <w:rPr>
          <w:rFonts w:ascii="Arial" w:cs="Arial" w:eastAsia="Arial" w:hAnsi="Arial"/>
          <w:sz w:val="20"/>
          <w:szCs w:val="20"/>
          <w:color w:val="2D2D2D"/>
        </w:rPr>
        <w:t>,</w:t>
      </w:r>
      <w:r>
        <w:rPr>
          <w:rFonts w:ascii="Arial" w:cs="Arial" w:eastAsia="Arial" w:hAnsi="Arial"/>
          <w:sz w:val="20"/>
          <w:szCs w:val="20"/>
          <w:color w:val="0F0F0F"/>
        </w:rPr>
        <w:t xml:space="preserve"> of the Company or its Affiliates that were contacted, solicited or served by me while I was engaged as an Associate of the Company or any Affiliate.</w:t>
      </w:r>
    </w:p>
    <w:p>
      <w:pPr>
        <w:spacing w:after="0" w:line="127" w:lineRule="exact"/>
        <w:rPr>
          <w:rFonts w:ascii="Arial" w:cs="Arial" w:eastAsia="Arial" w:hAnsi="Arial"/>
          <w:sz w:val="20"/>
          <w:szCs w:val="20"/>
          <w:color w:val="0F0F0F"/>
        </w:rPr>
      </w:pPr>
    </w:p>
    <w:p>
      <w:pPr>
        <w:ind w:right="180" w:firstLine="644"/>
        <w:spacing w:after="0" w:line="221" w:lineRule="auto"/>
        <w:tabs>
          <w:tab w:leader="none" w:pos="994" w:val="left"/>
        </w:tabs>
        <w:numPr>
          <w:ilvl w:val="1"/>
          <w:numId w:val="18"/>
        </w:numPr>
        <w:rPr>
          <w:rFonts w:ascii="Arial" w:cs="Arial" w:eastAsia="Arial" w:hAnsi="Arial"/>
          <w:sz w:val="19"/>
          <w:szCs w:val="19"/>
          <w:color w:val="0F0F0F"/>
        </w:rPr>
      </w:pPr>
      <w:r>
        <w:rPr>
          <w:rFonts w:ascii="Arial" w:cs="Arial" w:eastAsia="Arial" w:hAnsi="Arial"/>
          <w:sz w:val="19"/>
          <w:szCs w:val="19"/>
          <w:color w:val="0F0F0F"/>
        </w:rPr>
        <w:t xml:space="preserve">NON-SOLICITATION OF EMPLOYEES AND CONSULTANTS. I agree that while I am engaged as an Associate of the Company and for a period of one year after termination or cessation of such engagement for any reason, I will not directly or indirectly hire, recruit, or </w:t>
      </w:r>
      <w:r>
        <w:rPr>
          <w:rFonts w:ascii="Arial" w:cs="Arial" w:eastAsia="Arial" w:hAnsi="Arial"/>
          <w:sz w:val="19"/>
          <w:szCs w:val="19"/>
          <w:color w:val="000000"/>
        </w:rPr>
        <w:t>solicit</w:t>
      </w:r>
      <w:r>
        <w:rPr>
          <w:rFonts w:ascii="Arial" w:cs="Arial" w:eastAsia="Arial" w:hAnsi="Arial"/>
          <w:sz w:val="19"/>
          <w:szCs w:val="19"/>
          <w:color w:val="0F0F0F"/>
        </w:rPr>
        <w:t xml:space="preserve">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128" w:lineRule="exact"/>
        <w:rPr>
          <w:rFonts w:ascii="Arial" w:cs="Arial" w:eastAsia="Arial" w:hAnsi="Arial"/>
          <w:sz w:val="19"/>
          <w:szCs w:val="19"/>
          <w:color w:val="0F0F0F"/>
        </w:rPr>
      </w:pPr>
    </w:p>
    <w:p>
      <w:pPr>
        <w:jc w:val="both"/>
        <w:ind w:right="180" w:firstLine="644"/>
        <w:spacing w:after="0" w:line="213" w:lineRule="auto"/>
        <w:tabs>
          <w:tab w:leader="none" w:pos="994" w:val="left"/>
        </w:tabs>
        <w:numPr>
          <w:ilvl w:val="1"/>
          <w:numId w:val="18"/>
        </w:numPr>
        <w:rPr>
          <w:rFonts w:ascii="Arial" w:cs="Arial" w:eastAsia="Arial" w:hAnsi="Arial"/>
          <w:sz w:val="20"/>
          <w:szCs w:val="20"/>
          <w:color w:val="auto"/>
        </w:rPr>
      </w:pPr>
      <w:r>
        <w:rPr>
          <w:rFonts w:ascii="Arial" w:cs="Arial" w:eastAsia="Arial" w:hAnsi="Arial"/>
          <w:sz w:val="20"/>
          <w:szCs w:val="20"/>
          <w:color w:val="0F0F0F"/>
        </w:rPr>
        <w:t>NOTICE OF SUBSEQUENT EMPLOYMENT OR ENGAGEMENT. I will</w:t>
      </w:r>
      <w:r>
        <w:rPr>
          <w:rFonts w:ascii="Arial" w:cs="Arial" w:eastAsia="Arial" w:hAnsi="Arial"/>
          <w:sz w:val="20"/>
          <w:szCs w:val="20"/>
          <w:color w:val="2D2D2D"/>
        </w:rPr>
        <w:t>,</w:t>
      </w:r>
      <w:r>
        <w:rPr>
          <w:rFonts w:ascii="Arial" w:cs="Arial" w:eastAsia="Arial" w:hAnsi="Arial"/>
          <w:sz w:val="20"/>
          <w:szCs w:val="20"/>
          <w:color w:val="0F0F0F"/>
        </w:rPr>
        <w:t xml:space="preserve"> for a period of one year after the termination or ce</w:t>
      </w:r>
      <w:r>
        <w:rPr>
          <w:rFonts w:ascii="Arial" w:cs="Arial" w:eastAsia="Arial" w:hAnsi="Arial"/>
          <w:sz w:val="20"/>
          <w:szCs w:val="20"/>
          <w:color w:val="2D2D2D"/>
        </w:rPr>
        <w:t>s</w:t>
      </w:r>
      <w:r>
        <w:rPr>
          <w:rFonts w:ascii="Arial" w:cs="Arial" w:eastAsia="Arial" w:hAnsi="Arial"/>
          <w:sz w:val="20"/>
          <w:szCs w:val="20"/>
          <w:color w:val="0F0F0F"/>
        </w:rPr>
        <w:t xml:space="preserve">sation of my engagement as an Associate of the Company, notify the Company of any change of address, and of any subsequent employment or </w:t>
      </w:r>
      <w:r>
        <w:rPr>
          <w:rFonts w:ascii="Arial" w:cs="Arial" w:eastAsia="Arial" w:hAnsi="Arial"/>
          <w:sz w:val="20"/>
          <w:szCs w:val="20"/>
          <w:color w:val="111111"/>
        </w:rPr>
        <w:t>engagement (stating the name and address of the employer and the nature of the</w:t>
      </w:r>
      <w:r>
        <w:rPr>
          <w:rFonts w:ascii="Arial" w:cs="Arial" w:eastAsia="Arial" w:hAnsi="Arial"/>
          <w:sz w:val="20"/>
          <w:szCs w:val="20"/>
          <w:color w:val="0F0F0F"/>
        </w:rPr>
        <w:t xml:space="preserve"> </w:t>
      </w:r>
      <w:r>
        <w:rPr>
          <w:rFonts w:ascii="Arial" w:cs="Arial" w:eastAsia="Arial" w:hAnsi="Arial"/>
          <w:sz w:val="20"/>
          <w:szCs w:val="20"/>
          <w:color w:val="111111"/>
        </w:rPr>
        <w:t>position) or any other business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32650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2" w:name="page43"/>
    <w:bookmarkEnd w:id="42"/>
    <w:p>
      <w:pPr>
        <w:ind w:left="344" w:hanging="344"/>
        <w:spacing w:after="0"/>
        <w:tabs>
          <w:tab w:leader="none" w:pos="344" w:val="left"/>
        </w:tabs>
        <w:numPr>
          <w:ilvl w:val="0"/>
          <w:numId w:val="19"/>
        </w:numPr>
        <w:rPr>
          <w:rFonts w:ascii="Arial" w:cs="Arial" w:eastAsia="Arial" w:hAnsi="Arial"/>
          <w:sz w:val="20"/>
          <w:szCs w:val="20"/>
          <w:color w:val="111111"/>
        </w:rPr>
      </w:pPr>
      <w:r>
        <w:rPr>
          <w:rFonts w:ascii="Arial" w:cs="Arial" w:eastAsia="Arial" w:hAnsi="Arial"/>
          <w:sz w:val="20"/>
          <w:szCs w:val="20"/>
          <w:color w:val="auto"/>
        </w:rPr>
        <w:t>GENERAL</w:t>
      </w:r>
      <w:r>
        <w:rPr>
          <w:rFonts w:ascii="Arial" w:cs="Arial" w:eastAsia="Arial" w:hAnsi="Arial"/>
          <w:sz w:val="20"/>
          <w:szCs w:val="20"/>
          <w:color w:val="111111"/>
        </w:rPr>
        <w:t>.</w:t>
      </w:r>
    </w:p>
    <w:p>
      <w:pPr>
        <w:spacing w:after="0" w:line="150" w:lineRule="exact"/>
        <w:rPr>
          <w:sz w:val="20"/>
          <w:szCs w:val="20"/>
          <w:color w:val="auto"/>
        </w:rPr>
      </w:pPr>
    </w:p>
    <w:p>
      <w:pPr>
        <w:ind w:left="4" w:right="380" w:firstLine="648"/>
        <w:spacing w:after="0" w:line="210" w:lineRule="auto"/>
        <w:rPr>
          <w:sz w:val="20"/>
          <w:szCs w:val="20"/>
          <w:color w:val="auto"/>
        </w:rPr>
      </w:pPr>
      <w:r>
        <w:rPr>
          <w:rFonts w:ascii="Arial" w:cs="Arial" w:eastAsia="Arial" w:hAnsi="Arial"/>
          <w:sz w:val="20"/>
          <w:szCs w:val="20"/>
          <w:color w:val="111111"/>
        </w:rPr>
        <w:t xml:space="preserve">9.1. </w:t>
      </w:r>
      <w:r>
        <w:rPr>
          <w:rFonts w:ascii="Arial" w:cs="Arial" w:eastAsia="Arial" w:hAnsi="Arial"/>
          <w:sz w:val="20"/>
          <w:szCs w:val="20"/>
          <w:u w:val="single" w:color="auto"/>
          <w:color w:val="111111"/>
        </w:rPr>
        <w:t>Assignment; Successors and Assigns.</w:t>
      </w:r>
      <w:r>
        <w:rPr>
          <w:rFonts w:ascii="Arial" w:cs="Arial" w:eastAsia="Arial" w:hAnsi="Arial"/>
          <w:sz w:val="20"/>
          <w:szCs w:val="20"/>
          <w:color w:val="111111"/>
        </w:rPr>
        <w:t xml:space="preserve"> This Agreement may not be assigned by either party except that the Company may assign this Agreement to any Affiliate or in connection with the merger, consolidation or sale of all or substantially all of its business or assets. This Agreement will be </w:t>
      </w:r>
      <w:r>
        <w:rPr>
          <w:rFonts w:ascii="Arial" w:cs="Arial" w:eastAsia="Arial" w:hAnsi="Arial"/>
          <w:sz w:val="20"/>
          <w:szCs w:val="20"/>
          <w:color w:val="000000"/>
        </w:rPr>
        <w:t>binding</w:t>
      </w:r>
      <w:r>
        <w:rPr>
          <w:rFonts w:ascii="Arial" w:cs="Arial" w:eastAsia="Arial" w:hAnsi="Arial"/>
          <w:sz w:val="20"/>
          <w:szCs w:val="20"/>
          <w:color w:val="111111"/>
        </w:rPr>
        <w:t xml:space="preserve"> upon and will inure to the benefit of the parties hereto and their respective successors and other legal representatives and, to the extent that any assignment hereof is permitted hereunder, their assignees.</w:t>
      </w:r>
    </w:p>
    <w:p>
      <w:pPr>
        <w:spacing w:after="0" w:line="128" w:lineRule="exact"/>
        <w:rPr>
          <w:sz w:val="20"/>
          <w:szCs w:val="20"/>
          <w:color w:val="auto"/>
        </w:rPr>
      </w:pPr>
    </w:p>
    <w:p>
      <w:pPr>
        <w:ind w:left="4" w:right="180" w:firstLine="648"/>
        <w:spacing w:after="0" w:line="275" w:lineRule="auto"/>
        <w:rPr>
          <w:sz w:val="20"/>
          <w:szCs w:val="20"/>
          <w:color w:val="auto"/>
        </w:rPr>
      </w:pPr>
      <w:r>
        <w:rPr>
          <w:rFonts w:ascii="Arial" w:cs="Arial" w:eastAsia="Arial" w:hAnsi="Arial"/>
          <w:sz w:val="16"/>
          <w:szCs w:val="16"/>
          <w:color w:val="111111"/>
        </w:rPr>
        <w:t xml:space="preserve">9.2. </w:t>
      </w:r>
      <w:r>
        <w:rPr>
          <w:rFonts w:ascii="Arial" w:cs="Arial" w:eastAsia="Arial" w:hAnsi="Arial"/>
          <w:sz w:val="16"/>
          <w:szCs w:val="16"/>
          <w:u w:val="single" w:color="auto"/>
          <w:color w:val="111111"/>
        </w:rPr>
        <w:t>Entire Agreement.</w:t>
      </w:r>
      <w:r>
        <w:rPr>
          <w:rFonts w:ascii="Arial" w:cs="Arial" w:eastAsia="Arial" w:hAnsi="Arial"/>
          <w:sz w:val="16"/>
          <w:szCs w:val="16"/>
          <w:color w:val="111111"/>
        </w:rPr>
        <w:t xml:space="preserve"> The obligations pursuant to </w:t>
      </w:r>
      <w:r>
        <w:rPr>
          <w:rFonts w:ascii="Arial" w:cs="Arial" w:eastAsia="Arial" w:hAnsi="Arial"/>
          <w:sz w:val="16"/>
          <w:szCs w:val="16"/>
          <w:u w:val="single" w:color="auto"/>
          <w:color w:val="111111"/>
        </w:rPr>
        <w:t>Sections 2</w:t>
      </w:r>
      <w:r>
        <w:rPr>
          <w:rFonts w:ascii="Arial" w:cs="Arial" w:eastAsia="Arial" w:hAnsi="Arial"/>
          <w:sz w:val="16"/>
          <w:szCs w:val="16"/>
          <w:color w:val="111111"/>
        </w:rPr>
        <w:t xml:space="preserve"> and J of this Agreement will apply to any time during which I was previously engaged as an Associate of the Company, or am in the future engaged as an Associate of the Company or any Affiliate if no other agreement governs nondisclosure and assignment of inventions during such period</w:t>
      </w:r>
      <w:r>
        <w:rPr>
          <w:rFonts w:ascii="Arial" w:cs="Arial" w:eastAsia="Arial" w:hAnsi="Arial"/>
          <w:sz w:val="16"/>
          <w:szCs w:val="16"/>
          <w:color w:val="3A3A3A"/>
        </w:rPr>
        <w:t>.</w:t>
      </w:r>
      <w:r>
        <w:rPr>
          <w:rFonts w:ascii="Arial" w:cs="Arial" w:eastAsia="Arial" w:hAnsi="Arial"/>
          <w:sz w:val="16"/>
          <w:szCs w:val="16"/>
          <w:color w:val="111111"/>
        </w:rPr>
        <w:t xml:space="preserve"> This Agreement supersedes all prior </w:t>
      </w:r>
      <w:r>
        <w:rPr>
          <w:rFonts w:ascii="Arial" w:cs="Arial" w:eastAsia="Arial" w:hAnsi="Arial"/>
          <w:sz w:val="16"/>
          <w:szCs w:val="16"/>
          <w:color w:val="000000"/>
        </w:rPr>
        <w:t>agreements</w:t>
      </w:r>
      <w:r>
        <w:rPr>
          <w:rFonts w:ascii="Arial" w:cs="Arial" w:eastAsia="Arial" w:hAnsi="Arial"/>
          <w:sz w:val="16"/>
          <w:szCs w:val="16"/>
          <w:color w:val="111111"/>
        </w:rPr>
        <w:t>, written or oral, with respect to the subject matter of this Agreement.</w:t>
      </w:r>
    </w:p>
    <w:p>
      <w:pPr>
        <w:spacing w:after="0" w:line="102" w:lineRule="exact"/>
        <w:rPr>
          <w:sz w:val="20"/>
          <w:szCs w:val="20"/>
          <w:color w:val="auto"/>
        </w:rPr>
      </w:pPr>
    </w:p>
    <w:p>
      <w:pPr>
        <w:ind w:left="4" w:right="80" w:firstLine="648"/>
        <w:spacing w:after="0" w:line="210" w:lineRule="auto"/>
        <w:rPr>
          <w:sz w:val="20"/>
          <w:szCs w:val="20"/>
          <w:color w:val="auto"/>
        </w:rPr>
      </w:pPr>
      <w:r>
        <w:rPr>
          <w:rFonts w:ascii="Arial" w:cs="Arial" w:eastAsia="Arial" w:hAnsi="Arial"/>
          <w:sz w:val="20"/>
          <w:szCs w:val="20"/>
          <w:color w:val="111111"/>
        </w:rPr>
        <w:t xml:space="preserve">9.3. </w:t>
      </w:r>
      <w:r>
        <w:rPr>
          <w:rFonts w:ascii="Arial" w:cs="Arial" w:eastAsia="Arial" w:hAnsi="Arial"/>
          <w:sz w:val="20"/>
          <w:szCs w:val="20"/>
          <w:u w:val="single" w:color="auto"/>
          <w:color w:val="111111"/>
        </w:rPr>
        <w:t>Severability.</w:t>
      </w:r>
      <w:r>
        <w:rPr>
          <w:rFonts w:ascii="Arial" w:cs="Arial" w:eastAsia="Arial" w:hAnsi="Arial"/>
          <w:sz w:val="20"/>
          <w:szCs w:val="20"/>
          <w:color w:val="111111"/>
        </w:rPr>
        <w:t xml:space="preserve"> In the event that any one or more of the provisions contained herein is, for any reason, held to be invalid, illegal, or unenforceable in any respect, such invalidity, illegality, or unenforceability will not affect any other provisions of this Agreement, and all other provisions will </w:t>
      </w:r>
      <w:r>
        <w:rPr>
          <w:rFonts w:ascii="Arial" w:cs="Arial" w:eastAsia="Arial" w:hAnsi="Arial"/>
          <w:sz w:val="20"/>
          <w:szCs w:val="20"/>
          <w:color w:val="000000"/>
        </w:rPr>
        <w:t>remain</w:t>
      </w:r>
      <w:r>
        <w:rPr>
          <w:rFonts w:ascii="Arial" w:cs="Arial" w:eastAsia="Arial" w:hAnsi="Arial"/>
          <w:sz w:val="20"/>
          <w:szCs w:val="20"/>
          <w:color w:val="111111"/>
        </w:rPr>
        <w:t xml:space="preserve"> in full force and effect. If any of the provisions of this Agreement is held to be excessively broad, it will be reformed and construed by limiting and reducing it so as to be enforceable to the maximum extent permitted by law.</w:t>
      </w:r>
    </w:p>
    <w:p>
      <w:pPr>
        <w:spacing w:after="0" w:line="128" w:lineRule="exact"/>
        <w:rPr>
          <w:sz w:val="20"/>
          <w:szCs w:val="20"/>
          <w:color w:val="auto"/>
        </w:rPr>
      </w:pPr>
    </w:p>
    <w:p>
      <w:pPr>
        <w:ind w:left="4" w:right="40" w:firstLine="648"/>
        <w:spacing w:after="0" w:line="210" w:lineRule="auto"/>
        <w:rPr>
          <w:sz w:val="20"/>
          <w:szCs w:val="20"/>
          <w:color w:val="auto"/>
        </w:rPr>
      </w:pPr>
      <w:r>
        <w:rPr>
          <w:rFonts w:ascii="Arial" w:cs="Arial" w:eastAsia="Arial" w:hAnsi="Arial"/>
          <w:sz w:val="20"/>
          <w:szCs w:val="20"/>
          <w:color w:val="111111"/>
        </w:rPr>
        <w:t xml:space="preserve">9.4. </w:t>
      </w:r>
      <w:r>
        <w:rPr>
          <w:rFonts w:ascii="Arial" w:cs="Arial" w:eastAsia="Arial" w:hAnsi="Arial"/>
          <w:sz w:val="20"/>
          <w:szCs w:val="20"/>
          <w:u w:val="single" w:color="auto"/>
          <w:color w:val="111111"/>
        </w:rPr>
        <w:t>Amendments and Waivers</w:t>
      </w:r>
      <w:r>
        <w:rPr>
          <w:rFonts w:ascii="Arial" w:cs="Arial" w:eastAsia="Arial" w:hAnsi="Arial"/>
          <w:sz w:val="20"/>
          <w:szCs w:val="20"/>
          <w:color w:val="3A3A3A"/>
        </w:rPr>
        <w:t>.</w:t>
      </w:r>
      <w:r>
        <w:rPr>
          <w:rFonts w:ascii="Arial" w:cs="Arial" w:eastAsia="Arial" w:hAnsi="Arial"/>
          <w:sz w:val="20"/>
          <w:szCs w:val="20"/>
          <w:color w:val="111111"/>
        </w:rPr>
        <w:t xml:space="preserve"> No modification of or amendment to this Agreement, 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128" w:lineRule="exact"/>
        <w:rPr>
          <w:sz w:val="20"/>
          <w:szCs w:val="20"/>
          <w:color w:val="auto"/>
        </w:rPr>
      </w:pPr>
    </w:p>
    <w:p>
      <w:pPr>
        <w:ind w:left="4" w:right="60" w:firstLine="648"/>
        <w:spacing w:after="0" w:line="221" w:lineRule="auto"/>
        <w:rPr>
          <w:sz w:val="20"/>
          <w:szCs w:val="20"/>
          <w:color w:val="auto"/>
        </w:rPr>
      </w:pPr>
      <w:r>
        <w:rPr>
          <w:rFonts w:ascii="Arial" w:cs="Arial" w:eastAsia="Arial" w:hAnsi="Arial"/>
          <w:sz w:val="19"/>
          <w:szCs w:val="19"/>
          <w:color w:val="111111"/>
        </w:rPr>
        <w:t xml:space="preserve">9.5. </w:t>
      </w:r>
      <w:r>
        <w:rPr>
          <w:rFonts w:ascii="Arial" w:cs="Arial" w:eastAsia="Arial" w:hAnsi="Arial"/>
          <w:sz w:val="19"/>
          <w:szCs w:val="19"/>
          <w:u w:val="single" w:color="auto"/>
          <w:color w:val="111111"/>
        </w:rPr>
        <w:t>Employment.</w:t>
      </w:r>
      <w:r>
        <w:rPr>
          <w:rFonts w:ascii="Arial" w:cs="Arial" w:eastAsia="Arial" w:hAnsi="Arial"/>
          <w:sz w:val="19"/>
          <w:szCs w:val="19"/>
          <w:color w:val="111111"/>
        </w:rPr>
        <w:t xml:space="preserve"> I understand that this Agreement does not constitute a contract of employment or create an obligation on the part of the Company to continue my employment (if any) with the Company. I understand that my employment (if any) is "at will" and that my obligations under this Agreement will not be affected by any change in my position, title or function with, or </w:t>
      </w:r>
      <w:r>
        <w:rPr>
          <w:rFonts w:ascii="Arial" w:cs="Arial" w:eastAsia="Arial" w:hAnsi="Arial"/>
          <w:sz w:val="19"/>
          <w:szCs w:val="19"/>
          <w:color w:val="000000"/>
        </w:rPr>
        <w:t>compensation</w:t>
      </w:r>
      <w:r>
        <w:rPr>
          <w:rFonts w:ascii="Arial" w:cs="Arial" w:eastAsia="Arial" w:hAnsi="Arial"/>
          <w:sz w:val="19"/>
          <w:szCs w:val="19"/>
          <w:color w:val="111111"/>
        </w:rPr>
        <w:t>, by the Company. Any subsequent change or changes in my duties, salary or compensation will not affect the validity or scope of this Agreement.</w:t>
      </w:r>
    </w:p>
    <w:p>
      <w:pPr>
        <w:spacing w:after="0" w:line="128" w:lineRule="exact"/>
        <w:rPr>
          <w:sz w:val="20"/>
          <w:szCs w:val="20"/>
          <w:color w:val="auto"/>
        </w:rPr>
      </w:pPr>
    </w:p>
    <w:p>
      <w:pPr>
        <w:ind w:left="4" w:firstLine="648"/>
        <w:spacing w:after="0" w:line="221"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111111"/>
        </w:rPr>
        <w:t>Legal and Equitable Remedies.</w:t>
      </w:r>
      <w:r>
        <w:rPr>
          <w:rFonts w:ascii="Arial" w:cs="Arial" w:eastAsia="Arial" w:hAnsi="Arial"/>
          <w:sz w:val="19"/>
          <w:szCs w:val="19"/>
          <w:color w:val="auto"/>
        </w:rPr>
        <w:t xml:space="preserve"> </w:t>
      </w:r>
      <w:r>
        <w:rPr>
          <w:rFonts w:ascii="Arial" w:cs="Arial" w:eastAsia="Arial" w:hAnsi="Arial"/>
          <w:sz w:val="19"/>
          <w:szCs w:val="19"/>
          <w:color w:val="111111"/>
        </w:rPr>
        <w:t>I acknowledge that (a) the business of the Company and its Affiliates is global</w:t>
      </w:r>
      <w:r>
        <w:rPr>
          <w:rFonts w:ascii="Arial" w:cs="Arial" w:eastAsia="Arial" w:hAnsi="Arial"/>
          <w:sz w:val="19"/>
          <w:szCs w:val="19"/>
          <w:color w:val="auto"/>
        </w:rPr>
        <w:t xml:space="preserve"> </w:t>
      </w:r>
      <w:r>
        <w:rPr>
          <w:rFonts w:ascii="Arial" w:cs="Arial" w:eastAsia="Arial" w:hAnsi="Arial"/>
          <w:sz w:val="19"/>
          <w:szCs w:val="19"/>
          <w:color w:val="111111"/>
        </w:rPr>
        <w:t xml:space="preserve">in </w:t>
      </w:r>
      <w:r>
        <w:rPr>
          <w:rFonts w:ascii="Arial" w:cs="Arial" w:eastAsia="Arial" w:hAnsi="Arial"/>
          <w:sz w:val="19"/>
          <w:szCs w:val="19"/>
          <w:color w:val="282828"/>
        </w:rPr>
        <w:t>scope</w:t>
      </w:r>
      <w:r>
        <w:rPr>
          <w:rFonts w:ascii="Arial" w:cs="Arial" w:eastAsia="Arial" w:hAnsi="Arial"/>
          <w:sz w:val="19"/>
          <w:szCs w:val="19"/>
          <w:color w:val="111111"/>
        </w:rPr>
        <w:t xml:space="preserve"> and its services may be marketed and </w:t>
      </w:r>
      <w:r>
        <w:rPr>
          <w:rFonts w:ascii="Arial" w:cs="Arial" w:eastAsia="Arial" w:hAnsi="Arial"/>
          <w:sz w:val="19"/>
          <w:szCs w:val="19"/>
          <w:color w:val="282828"/>
        </w:rPr>
        <w:t>sold</w:t>
      </w:r>
      <w:r>
        <w:rPr>
          <w:rFonts w:ascii="Arial" w:cs="Arial" w:eastAsia="Arial" w:hAnsi="Arial"/>
          <w:sz w:val="19"/>
          <w:szCs w:val="19"/>
          <w:color w:val="111111"/>
        </w:rPr>
        <w:t xml:space="preserve"> throughout the world; (b) the Company and its Affiliates compete with other businesses that are or could be located in any part of the world; (c) the Company has required that I make the covenants contained in this Agreement as a condition to my engagement as an Associate of the Company; and (d) the restrictions contained in this Agreement are necessary for the protection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32650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24"/>
          </w:cols>
          <w:pgMar w:left="976" w:top="108" w:right="999" w:bottom="1440" w:gutter="0" w:footer="0" w:header="0"/>
        </w:sectPr>
      </w:pPr>
    </w:p>
    <w:bookmarkStart w:id="43" w:name="page44"/>
    <w:bookmarkEnd w:id="43"/>
    <w:p>
      <w:pPr>
        <w:spacing w:after="0" w:line="229" w:lineRule="auto"/>
        <w:rPr>
          <w:sz w:val="20"/>
          <w:szCs w:val="20"/>
          <w:color w:val="auto"/>
        </w:rPr>
      </w:pPr>
      <w:r>
        <w:rPr>
          <w:rFonts w:ascii="Arial" w:cs="Arial" w:eastAsia="Arial" w:hAnsi="Arial"/>
          <w:sz w:val="18"/>
          <w:szCs w:val="18"/>
          <w:color w:val="111111"/>
        </w:rPr>
        <w:t>the business and goodwill of the Company and its Affiliates and are reasonable for such purpose. I agree that any breach of this Agreement by me will cause irreparable damage to the Company and its Affiliates and that in the event of such breach, the Company will be entitled</w:t>
      </w:r>
      <w:r>
        <w:rPr>
          <w:rFonts w:ascii="Arial" w:cs="Arial" w:eastAsia="Arial" w:hAnsi="Arial"/>
          <w:sz w:val="18"/>
          <w:szCs w:val="18"/>
          <w:color w:val="2D2D2D"/>
        </w:rPr>
        <w:t>,</w:t>
      </w:r>
      <w:r>
        <w:rPr>
          <w:rFonts w:ascii="Arial" w:cs="Arial" w:eastAsia="Arial" w:hAnsi="Arial"/>
          <w:sz w:val="18"/>
          <w:szCs w:val="18"/>
          <w:color w:val="111111"/>
        </w:rPr>
        <w:t xml:space="preserve"> in addition to monetary damages and to any other </w:t>
      </w:r>
      <w:r>
        <w:rPr>
          <w:rFonts w:ascii="Arial" w:cs="Arial" w:eastAsia="Arial" w:hAnsi="Arial"/>
          <w:sz w:val="18"/>
          <w:szCs w:val="18"/>
          <w:color w:val="000000"/>
        </w:rPr>
        <w:t>remedies</w:t>
      </w:r>
      <w:r>
        <w:rPr>
          <w:rFonts w:ascii="Arial" w:cs="Arial" w:eastAsia="Arial" w:hAnsi="Arial"/>
          <w:sz w:val="18"/>
          <w:szCs w:val="18"/>
          <w:color w:val="111111"/>
        </w:rPr>
        <w:t xml:space="preserve"> available to the Company under this Agreement and at law, to equitable relief, including injunctive relief, and to payment by myself of all cost</w:t>
      </w:r>
      <w:r>
        <w:rPr>
          <w:rFonts w:ascii="Arial" w:cs="Arial" w:eastAsia="Arial" w:hAnsi="Arial"/>
          <w:sz w:val="18"/>
          <w:szCs w:val="18"/>
          <w:color w:val="2D2D2D"/>
        </w:rPr>
        <w:t>s</w:t>
      </w:r>
      <w:r>
        <w:rPr>
          <w:rFonts w:ascii="Arial" w:cs="Arial" w:eastAsia="Arial" w:hAnsi="Arial"/>
          <w:sz w:val="18"/>
          <w:szCs w:val="18"/>
          <w:color w:val="111111"/>
        </w:rPr>
        <w:t xml:space="preserve"> incurred by the Company in enforcing of the provisions of this Agreement</w:t>
      </w:r>
      <w:r>
        <w:rPr>
          <w:rFonts w:ascii="Arial" w:cs="Arial" w:eastAsia="Arial" w:hAnsi="Arial"/>
          <w:sz w:val="18"/>
          <w:szCs w:val="18"/>
          <w:color w:val="2D2D2D"/>
        </w:rPr>
        <w:t>,</w:t>
      </w:r>
      <w:r>
        <w:rPr>
          <w:rFonts w:ascii="Arial" w:cs="Arial" w:eastAsia="Arial" w:hAnsi="Arial"/>
          <w:sz w:val="18"/>
          <w:szCs w:val="18"/>
          <w:color w:val="111111"/>
        </w:rPr>
        <w:t xml:space="preserve"> including reasonable attorneys' fees. I agree that should I violate any obligation imposed on me in this Agreement, I will continue to be bound by the obligation until a period equal to the term of such obligation has expired without violation of such obligation.</w:t>
      </w:r>
    </w:p>
    <w:p>
      <w:pPr>
        <w:spacing w:after="0" w:line="131" w:lineRule="exact"/>
        <w:rPr>
          <w:sz w:val="20"/>
          <w:szCs w:val="20"/>
          <w:color w:val="auto"/>
        </w:rPr>
      </w:pPr>
    </w:p>
    <w:p>
      <w:pPr>
        <w:ind w:firstLine="648"/>
        <w:spacing w:after="0" w:line="206" w:lineRule="auto"/>
        <w:rPr>
          <w:sz w:val="20"/>
          <w:szCs w:val="20"/>
          <w:color w:val="auto"/>
        </w:rPr>
      </w:pPr>
      <w:r>
        <w:rPr>
          <w:rFonts w:ascii="Arial" w:cs="Arial" w:eastAsia="Arial" w:hAnsi="Arial"/>
          <w:sz w:val="20"/>
          <w:szCs w:val="20"/>
          <w:color w:val="111111"/>
        </w:rPr>
        <w:t xml:space="preserve">9.7. </w:t>
      </w:r>
      <w:r>
        <w:rPr>
          <w:rFonts w:ascii="Arial" w:cs="Arial" w:eastAsia="Arial" w:hAnsi="Arial"/>
          <w:sz w:val="20"/>
          <w:szCs w:val="20"/>
          <w:u w:val="single" w:color="auto"/>
          <w:color w:val="111111"/>
        </w:rPr>
        <w:t>Governing Law.</w:t>
      </w:r>
      <w:r>
        <w:rPr>
          <w:rFonts w:ascii="Arial" w:cs="Arial" w:eastAsia="Arial" w:hAnsi="Arial"/>
          <w:sz w:val="20"/>
          <w:szCs w:val="20"/>
          <w:color w:val="111111"/>
        </w:rPr>
        <w:t xml:space="preserve"> This Agreement will be construed as a sealed instrument and will in all events and for all purposes be governed by, </w:t>
      </w:r>
      <w:r>
        <w:rPr>
          <w:rFonts w:ascii="Arial" w:cs="Arial" w:eastAsia="Arial" w:hAnsi="Arial"/>
          <w:sz w:val="20"/>
          <w:szCs w:val="20"/>
          <w:color w:val="000000"/>
        </w:rPr>
        <w:t>and</w:t>
      </w:r>
      <w:r>
        <w:rPr>
          <w:rFonts w:ascii="Arial" w:cs="Arial" w:eastAsia="Arial" w:hAnsi="Arial"/>
          <w:sz w:val="20"/>
          <w:szCs w:val="20"/>
          <w:color w:val="111111"/>
        </w:rPr>
        <w:t xml:space="preserve"> construed in accordance with, the laws of the State of Delaware without regard to any choice of law principle that would dictate the application of the laws of another jurisdiction. Any action, suit or other legal proceeding that I may commence to resolve any matter arising under or relating to any provision of this Agreement will be commenced only in a court of the State of Delaware (or, if appropriate, a federal court located within the State of Delaware), and I hereby consent to the jurisdiction of such court with respect to any action, suit or proceeding commenced in such court by the Company</w:t>
      </w:r>
      <w:r>
        <w:rPr>
          <w:rFonts w:ascii="Arial" w:cs="Arial" w:eastAsia="Arial" w:hAnsi="Arial"/>
          <w:sz w:val="20"/>
          <w:szCs w:val="20"/>
          <w:color w:val="2D2D2D"/>
        </w:rPr>
        <w:t>.</w:t>
      </w:r>
    </w:p>
    <w:p>
      <w:pPr>
        <w:spacing w:after="0" w:line="130" w:lineRule="exact"/>
        <w:rPr>
          <w:sz w:val="20"/>
          <w:szCs w:val="20"/>
          <w:color w:val="auto"/>
        </w:rPr>
      </w:pPr>
    </w:p>
    <w:p>
      <w:pPr>
        <w:ind w:left="4100"/>
        <w:spacing w:after="0"/>
        <w:rPr>
          <w:sz w:val="20"/>
          <w:szCs w:val="20"/>
          <w:color w:val="auto"/>
        </w:rPr>
      </w:pPr>
      <w:r>
        <w:rPr>
          <w:rFonts w:ascii="Arial" w:cs="Arial" w:eastAsia="Arial" w:hAnsi="Arial"/>
          <w:sz w:val="20"/>
          <w:szCs w:val="20"/>
          <w:color w:val="111111"/>
        </w:rPr>
        <w:t xml:space="preserve">[Next Page is </w:t>
      </w:r>
      <w:r>
        <w:rPr>
          <w:rFonts w:ascii="Arial" w:cs="Arial" w:eastAsia="Arial" w:hAnsi="Arial"/>
          <w:sz w:val="20"/>
          <w:szCs w:val="20"/>
          <w:color w:val="000000"/>
        </w:rPr>
        <w:t>Signature</w:t>
      </w:r>
      <w:r>
        <w:rPr>
          <w:rFonts w:ascii="Arial" w:cs="Arial" w:eastAsia="Arial" w:hAnsi="Arial"/>
          <w:sz w:val="20"/>
          <w:szCs w:val="20"/>
          <w:color w:val="111111"/>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32650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860"/>
          </w:cols>
          <w:pgMar w:left="980" w:top="108" w:right="10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131313"/>
        </w:rPr>
        <w:t xml:space="preserve">IN WITNESS WHEREOF, </w:t>
      </w:r>
      <w:r>
        <w:rPr>
          <w:rFonts w:ascii="Arial" w:cs="Arial" w:eastAsia="Arial" w:hAnsi="Arial"/>
          <w:sz w:val="18"/>
          <w:szCs w:val="18"/>
          <w:color w:val="131313"/>
        </w:rPr>
        <w:t>the parties hereto have executed this Agreement as of the date first above written</w:t>
      </w:r>
      <w:r>
        <w:rPr>
          <w:rFonts w:ascii="Arial" w:cs="Arial" w:eastAsia="Arial" w:hAnsi="Arial"/>
          <w:sz w:val="18"/>
          <w:szCs w:val="18"/>
          <w:color w:val="3B3B3B"/>
        </w:rPr>
        <w:t>.</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Joseph Kinder</w:t>
      </w:r>
    </w:p>
    <w:p>
      <w:pPr>
        <w:spacing w:after="0"/>
        <w:rPr>
          <w:sz w:val="20"/>
          <w:szCs w:val="20"/>
          <w:color w:val="auto"/>
        </w:rPr>
      </w:pPr>
      <w:r>
        <w:rPr>
          <w:rFonts w:ascii="Arial" w:cs="Arial" w:eastAsia="Arial" w:hAnsi="Arial"/>
          <w:sz w:val="20"/>
          <w:szCs w:val="20"/>
          <w:color w:val="auto"/>
        </w:rPr>
        <w:t>Joe Kinder</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Cabell Lolmaugh</w:t>
      </w:r>
    </w:p>
    <w:p>
      <w:pPr>
        <w:spacing w:after="0"/>
        <w:rPr>
          <w:sz w:val="20"/>
          <w:szCs w:val="20"/>
          <w:color w:val="auto"/>
        </w:rPr>
      </w:pPr>
      <w:r>
        <w:rPr>
          <w:rFonts w:ascii="Arial" w:cs="Arial" w:eastAsia="Arial" w:hAnsi="Arial"/>
          <w:sz w:val="20"/>
          <w:szCs w:val="20"/>
          <w:color w:val="auto"/>
        </w:rPr>
        <w:t>TILE SHOP HOLDINGS, INC.</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632650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479"/>
          </w:cols>
          <w:pgMar w:left="980" w:top="104" w:right="1440" w:bottom="1440" w:gutter="0" w:footer="0" w:header="0"/>
        </w:sectPr>
      </w:pPr>
    </w:p>
    <w:bookmarkStart w:id="45" w:name="page46"/>
    <w:bookmarkEnd w:id="45"/>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Cabell H. Lolmaugh, certify that:</w:t>
      </w:r>
    </w:p>
    <w:p>
      <w:pPr>
        <w:spacing w:after="0" w:line="144" w:lineRule="exact"/>
        <w:rPr>
          <w:sz w:val="20"/>
          <w:szCs w:val="20"/>
          <w:color w:val="auto"/>
        </w:rPr>
      </w:pPr>
    </w:p>
    <w:p>
      <w:pPr>
        <w:ind w:left="500" w:hanging="316"/>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40" w:right="219" w:hanging="332"/>
        <w:spacing w:after="0" w:line="219" w:lineRule="auto"/>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40" w:right="199" w:hanging="332"/>
        <w:spacing w:after="0" w:line="219" w:lineRule="auto"/>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379" w:hanging="332"/>
        <w:spacing w:after="0" w:line="224" w:lineRule="auto"/>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40" w:right="299" w:hanging="332"/>
        <w:spacing w:after="0" w:line="219" w:lineRule="auto"/>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40" w:right="479" w:hanging="332"/>
        <w:spacing w:after="0" w:line="224" w:lineRule="auto"/>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279" w:hanging="332"/>
        <w:spacing w:after="0" w:line="235" w:lineRule="auto"/>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November 9, 2020</w:t>
      </w:r>
    </w:p>
    <w:p>
      <w:pPr>
        <w:ind w:left="4780"/>
        <w:spacing w:after="0" w:line="219" w:lineRule="auto"/>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wp:posOffset>
            </wp:positionV>
            <wp:extent cx="1920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Cabell H. Lolmaugh</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347345</wp:posOffset>
            </wp:positionV>
            <wp:extent cx="550354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Nancy DiMattia, certify that:</w:t>
      </w:r>
    </w:p>
    <w:p>
      <w:pPr>
        <w:spacing w:after="0" w:line="144" w:lineRule="exact"/>
        <w:rPr>
          <w:sz w:val="20"/>
          <w:szCs w:val="20"/>
          <w:color w:val="auto"/>
        </w:rPr>
      </w:pPr>
    </w:p>
    <w:p>
      <w:pPr>
        <w:ind w:left="500" w:hanging="316"/>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40" w:right="219" w:hanging="332"/>
        <w:spacing w:after="0" w:line="219"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40" w:right="199" w:hanging="332"/>
        <w:spacing w:after="0" w:line="219"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379" w:hanging="332"/>
        <w:spacing w:after="0" w:line="224"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40" w:right="299" w:hanging="332"/>
        <w:spacing w:after="0" w:line="219"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40" w:right="479" w:hanging="332"/>
        <w:spacing w:after="0" w:line="224"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279" w:hanging="332"/>
        <w:spacing w:after="0" w:line="235"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November 9, 2020</w:t>
      </w:r>
    </w:p>
    <w:p>
      <w:pPr>
        <w:ind w:left="4780"/>
        <w:spacing w:after="0" w:line="219" w:lineRule="auto"/>
        <w:rPr>
          <w:sz w:val="20"/>
          <w:szCs w:val="20"/>
          <w:color w:val="auto"/>
        </w:rPr>
      </w:pPr>
      <w:r>
        <w:rPr>
          <w:rFonts w:ascii="Arial" w:cs="Arial" w:eastAsia="Arial" w:hAnsi="Arial"/>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wp:posOffset>
            </wp:positionV>
            <wp:extent cx="1920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Nancy DiMattia</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347345</wp:posOffset>
            </wp:positionV>
            <wp:extent cx="550354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7" w:name="page48"/>
    <w:bookmarkEnd w:id="47"/>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640" w:right="2000"/>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2" w:lineRule="exact"/>
        <w:rPr>
          <w:sz w:val="20"/>
          <w:szCs w:val="20"/>
          <w:color w:val="auto"/>
        </w:rPr>
      </w:pPr>
    </w:p>
    <w:p>
      <w:pPr>
        <w:ind w:left="180" w:right="31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ended September 30, 2020 as filed with the Securities and Exchange Commission on the date hereof (the “Report”), I, Cabell H. Lolmaugh,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840" w:right="379" w:hanging="332"/>
        <w:spacing w:after="0" w:line="235"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479" w:hanging="332"/>
        <w:spacing w:after="0" w:line="235"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wp:posOffset>
            </wp:positionV>
            <wp:extent cx="1929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ind w:left="380"/>
        <w:spacing w:after="0" w:line="203" w:lineRule="auto"/>
        <w:rPr>
          <w:sz w:val="20"/>
          <w:szCs w:val="20"/>
          <w:color w:val="auto"/>
        </w:rPr>
      </w:pPr>
      <w:r>
        <w:rPr>
          <w:rFonts w:ascii="Arial" w:cs="Arial" w:eastAsia="Arial" w:hAnsi="Arial"/>
          <w:sz w:val="18"/>
          <w:szCs w:val="18"/>
          <w:color w:val="auto"/>
        </w:rPr>
        <w:t>Cabell H. Lolmaugh</w:t>
      </w:r>
    </w:p>
    <w:p>
      <w:pPr>
        <w:ind w:left="38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November 9, 2020</w:t>
      </w:r>
    </w:p>
    <w:p>
      <w:pPr>
        <w:spacing w:after="0" w:line="320" w:lineRule="exact"/>
        <w:rPr>
          <w:sz w:val="20"/>
          <w:szCs w:val="20"/>
          <w:color w:val="auto"/>
        </w:rPr>
      </w:pPr>
    </w:p>
    <w:p>
      <w:pPr>
        <w:ind w:left="180" w:right="63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207645</wp:posOffset>
            </wp:positionV>
            <wp:extent cx="550354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640" w:right="2000"/>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2" w:lineRule="exact"/>
        <w:rPr>
          <w:sz w:val="20"/>
          <w:szCs w:val="20"/>
          <w:color w:val="auto"/>
        </w:rPr>
      </w:pPr>
    </w:p>
    <w:p>
      <w:pPr>
        <w:ind w:left="180" w:right="33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ended September 30, 2020 as filed with the Securities and Exchange Commission on the date hereof (the “Report”), I, Nancy DiMattia,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840" w:right="379" w:hanging="332"/>
        <w:spacing w:after="0" w:line="235"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479" w:hanging="332"/>
        <w:spacing w:after="0" w:line="235"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wp:posOffset>
            </wp:positionV>
            <wp:extent cx="1929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ind w:left="380"/>
        <w:spacing w:after="0" w:line="203" w:lineRule="auto"/>
        <w:rPr>
          <w:sz w:val="20"/>
          <w:szCs w:val="20"/>
          <w:color w:val="auto"/>
        </w:rPr>
      </w:pPr>
      <w:r>
        <w:rPr>
          <w:rFonts w:ascii="Arial" w:cs="Arial" w:eastAsia="Arial" w:hAnsi="Arial"/>
          <w:sz w:val="18"/>
          <w:szCs w:val="18"/>
          <w:color w:val="auto"/>
        </w:rPr>
        <w:t>Nancy DiMattia</w:t>
      </w:r>
    </w:p>
    <w:p>
      <w:pPr>
        <w:ind w:left="38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November 9, 2020</w:t>
      </w:r>
    </w:p>
    <w:p>
      <w:pPr>
        <w:spacing w:after="0" w:line="320" w:lineRule="exact"/>
        <w:rPr>
          <w:sz w:val="20"/>
          <w:szCs w:val="20"/>
          <w:color w:val="auto"/>
        </w:rPr>
      </w:pPr>
    </w:p>
    <w:p>
      <w:pPr>
        <w:ind w:left="180" w:right="63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319405</wp:posOffset>
            </wp:positionV>
            <wp:extent cx="550354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decimal"/>
      <w:start w:val="1"/>
    </w:lvl>
  </w:abstractNum>
  <w:abstractNum w:abstractNumId="3">
    <w:nsid w:val="109CF92E"/>
    <w:multiLevelType w:val="hybridMultilevel"/>
    <w:lvl w:ilvl="0">
      <w:lvlJc w:val="left"/>
      <w:lvlText w:val="(%1)"/>
      <w:numFmt w:val="decimal"/>
      <w:start w:val="2"/>
    </w:lvl>
    <w:lvl w:ilvl="1">
      <w:lvlJc w:val="left"/>
      <w:lvlText w:val="%2"/>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lvl w:ilvl="1">
      <w:lvlJc w:val="left"/>
      <w:lvlText w:val="(%2)"/>
      <w:numFmt w:val="decimal"/>
      <w:start w:val="1"/>
    </w:lvl>
  </w:abstractNum>
  <w:abstractNum w:abstractNumId="6">
    <w:nsid w:val="1BEFD79F"/>
    <w:multiLevelType w:val="hybridMultilevel"/>
    <w:lvl w:ilvl="0">
      <w:lvlJc w:val="left"/>
      <w:lvlText w:val="(%1)"/>
      <w:numFmt w:val="decimal"/>
      <w:start w:val="2"/>
    </w:lvl>
    <w:lvl w:ilvl="1">
      <w:lvlJc w:val="left"/>
      <w:lvlText w:val="%2"/>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upperLetter"/>
      <w:start w:val="1"/>
    </w:lvl>
  </w:abstractNum>
  <w:abstractNum w:abstractNumId="10">
    <w:nsid w:val="25E45D32"/>
    <w:multiLevelType w:val="hybridMultilevel"/>
    <w:lvl w:ilvl="0">
      <w:lvlJc w:val="left"/>
      <w:lvlText w:val="(%1)"/>
      <w:numFmt w:val="decimal"/>
      <w:start w:val="2"/>
    </w:lvl>
  </w:abstractNum>
  <w:abstractNum w:abstractNumId="11">
    <w:nsid w:val="519B500D"/>
    <w:multiLevelType w:val="hybridMultilevel"/>
    <w:lvl w:ilvl="0">
      <w:lvlJc w:val="left"/>
      <w:lvlText w:val="(%1)"/>
      <w:numFmt w:val="upperLetter"/>
      <w:start w:val="2"/>
    </w:lvl>
  </w:abstractNum>
  <w:abstractNum w:abstractNumId="12">
    <w:nsid w:val="431BD7B7"/>
    <w:multiLevelType w:val="hybridMultilevel"/>
    <w:lvl w:ilvl="0">
      <w:lvlJc w:val="left"/>
      <w:lvlText w:val="·"/>
      <w:numFmt w:val="bullet"/>
      <w:start w:val="1"/>
    </w:lvl>
    <w:lvl w:ilvl="1">
      <w:lvlJc w:val="left"/>
      <w:lvlText w:val="(%2)"/>
      <w:numFmt w:val="upperLetter"/>
      <w:start w:val="3"/>
    </w:lvl>
  </w:abstractNum>
  <w:abstractNum w:abstractNumId="13">
    <w:nsid w:val="3F2DBA31"/>
    <w:multiLevelType w:val="hybridMultilevel"/>
    <w:lvl w:ilvl="0">
      <w:lvlJc w:val="left"/>
      <w:lvlText w:val="&quot;"/>
      <w:numFmt w:val="bullet"/>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lowerLetter"/>
      <w:start w:val="1"/>
    </w:lvl>
    <w:lvl w:ilvl="1">
      <w:lvlJc w:val="left"/>
      <w:lvlText w:val="%2."/>
      <w:numFmt w:val="decimal"/>
      <w:start w:val="5"/>
    </w:lvl>
  </w:abstractNum>
  <w:abstractNum w:abstractNumId="17">
    <w:nsid w:val="436C6125"/>
    <w:multiLevelType w:val="hybridMultilevel"/>
    <w:lvl w:ilvl="0">
      <w:lvlJc w:val="left"/>
      <w:lvlText w:val="(%1)"/>
      <w:numFmt w:val="lowerLetter"/>
      <w:start w:val="2"/>
    </w:lvl>
    <w:lvl w:ilvl="1">
      <w:lvlJc w:val="left"/>
      <w:lvlText w:val="%2."/>
      <w:numFmt w:val="decimal"/>
      <w:start w:val="6"/>
    </w:lvl>
  </w:abstractNum>
  <w:abstractNum w:abstractNumId="18">
    <w:nsid w:val="628C895D"/>
    <w:multiLevelType w:val="hybridMultilevel"/>
    <w:lvl w:ilvl="0">
      <w:lvlJc w:val="left"/>
      <w:lvlText w:val="%1."/>
      <w:numFmt w:val="decimal"/>
      <w:start w:val="9"/>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jpe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48" Type="http://schemas.openxmlformats.org/officeDocument/2006/relationships/hyperlink" Target="http://www.sec.gov/Archives/edgar/data/1552800/000114420412037509/v316486_ex3-1.htm" TargetMode="External"/><Relationship Id="rId49" Type="http://schemas.openxmlformats.org/officeDocument/2006/relationships/hyperlink" Target="http://www.sec.gov/Archives/edgar/data/1552800/000114420412037509/v316486_ex3-2.htm" TargetMode="External"/><Relationship Id="rId50" Type="http://schemas.openxmlformats.org/officeDocument/2006/relationships/hyperlink" Target="http://www.sec.gov/Archives/edgar/data/1552800/000110465920092178/tm2026957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2020-11-09T14:38:08Z</dcterms:created>
  <dcterms:modified xsi:type="dcterms:W3CDTF">2020-11-09T14:38:08Z</dcterms:modified>
</cp:coreProperties>
</file>