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caps w:val="false"/>
          <w:smallCaps w:val="false"/>
        </w:rPr>
      </w:pPr>
      <w:bookmarkStart w:id="0" w:name="ttsh-20250630x10q.htm"/>
      <w:bookmarkStart w:id="1" w:name="ksttsh20250630x10q"/>
      <w:bookmarkEnd w:id="0"/>
      <w:bookmarkEnd w:id="1"/>
      <w:r>
        <w:rPr>
          <w:caps w:val="false"/>
          <w:smallCaps w:val="false"/>
        </w:rPr>
        <w:t> </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June 30, 2025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Layout w:type="fixed"/>
        <w:tblCellMar>
          <w:top w:w="0" w:type="dxa"/>
          <w:left w:w="0" w:type="dxa"/>
          <w:bottom w:w="0" w:type="dxa"/>
          <w:right w:w="0" w:type="dxa"/>
        </w:tblCellMar>
      </w:tblPr>
      <w:tblGrid>
        <w:gridCol w:w="5236"/>
        <w:gridCol w:w="3136"/>
      </w:tblGrid>
      <w:tr>
        <w:trPr/>
        <w:tc>
          <w:tcPr>
            <w:tcW w:w="523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Layout w:type="fixed"/>
        <w:tblCellMar>
          <w:top w:w="0" w:type="dxa"/>
          <w:left w:w="0" w:type="dxa"/>
          <w:bottom w:w="0" w:type="dxa"/>
          <w:right w:w="0" w:type="dxa"/>
        </w:tblCellMar>
      </w:tblPr>
      <w:tblGrid>
        <w:gridCol w:w="3466"/>
        <w:gridCol w:w="1051"/>
      </w:tblGrid>
      <w:tr>
        <w:trPr/>
        <w:tc>
          <w:tcPr>
            <w:tcW w:w="346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Layout w:type="fixed"/>
        <w:tblCellMar>
          <w:top w:w="0" w:type="dxa"/>
          <w:left w:w="0" w:type="dxa"/>
          <w:bottom w:w="0" w:type="dxa"/>
          <w:right w:w="0" w:type="dxa"/>
        </w:tblCellMar>
      </w:tblPr>
      <w:tblGrid>
        <w:gridCol w:w="2641"/>
        <w:gridCol w:w="1621"/>
        <w:gridCol w:w="3706"/>
      </w:tblGrid>
      <w:tr>
        <w:trPr/>
        <w:tc>
          <w:tcPr>
            <w:tcW w:w="264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August 4, 2025, there were 44,761,435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Layout w:type="fixed"/>
        <w:tblCellMar>
          <w:top w:w="28" w:type="dxa"/>
          <w:left w:w="0" w:type="dxa"/>
          <w:bottom w:w="0" w:type="dxa"/>
          <w:right w:w="0" w:type="dxa"/>
        </w:tblCellMar>
      </w:tblPr>
      <w:tblGrid>
        <w:gridCol w:w="169"/>
      </w:tblGrid>
      <w:tr>
        <w:trPr/>
        <w:tc>
          <w:tcPr>
            <w:tcW w:w="169" w:type="dxa"/>
            <w:tcBorders>
              <w:top w:val="single" w:sz="8"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8857" w:type="dxa"/>
        <w:jc w:val="left"/>
        <w:tblInd w:w="0" w:type="dxa"/>
        <w:tblLayout w:type="fixed"/>
        <w:tblCellMar>
          <w:top w:w="0" w:type="dxa"/>
          <w:left w:w="0" w:type="dxa"/>
          <w:bottom w:w="0" w:type="dxa"/>
          <w:right w:w="0" w:type="dxa"/>
        </w:tblCellMar>
      </w:tblPr>
      <w:tblGrid>
        <w:gridCol w:w="811"/>
        <w:gridCol w:w="7366"/>
        <w:gridCol w:w="109"/>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177"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7366" w:type="dxa"/>
            <w:tcBorders/>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r>
      <w:tr>
        <w:trPr/>
        <w:tc>
          <w:tcPr>
            <w:tcW w:w="811"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77" w:type="dxa"/>
            <w:gridSpan w:val="2"/>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7366" w:type="dxa"/>
            <w:tcBorders/>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and Use of Proceeds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7366"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w:t>
            </w:r>
          </w:p>
        </w:tc>
      </w:tr>
      <w:tr>
        <w:trPr/>
        <w:tc>
          <w:tcPr>
            <w:tcW w:w="8177"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Layout w:type="fixed"/>
        <w:tblCellMar>
          <w:top w:w="0" w:type="dxa"/>
          <w:left w:w="0" w:type="dxa"/>
          <w:bottom w:w="0" w:type="dxa"/>
          <w:right w:w="0" w:type="dxa"/>
        </w:tblCellMar>
      </w:tblPr>
      <w:tblGrid>
        <w:gridCol w:w="7779"/>
        <w:gridCol w:w="109"/>
        <w:gridCol w:w="218"/>
        <w:gridCol w:w="810"/>
        <w:gridCol w:w="109"/>
        <w:gridCol w:w="239"/>
        <w:gridCol w:w="941"/>
      </w:tblGrid>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4,336</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3,085</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86,267</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8,663</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126,270</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119,822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59,733</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132,332</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1,870</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2,297</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319,603</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23,808</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28,880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27,855</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25,644</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78,394</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113,700</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5,050</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4,597</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196,691</w:t>
            </w:r>
          </w:p>
        </w:tc>
      </w:tr>
      <w:tr>
        <w:trPr/>
        <w:tc>
          <w:tcPr>
            <w:tcW w:w="7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44,779,230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44,657,898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7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130,099</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129,696</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(6,788)</w:t>
            </w:r>
          </w:p>
        </w:tc>
      </w:tr>
      <w:tr>
        <w:trPr/>
        <w:tc>
          <w:tcPr>
            <w:tcW w:w="777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123,877</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122,912</w:t>
            </w:r>
          </w:p>
        </w:tc>
      </w:tr>
      <w:tr>
        <w:trPr/>
        <w:tc>
          <w:tcPr>
            <w:tcW w:w="777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319,603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9205" w:type="dxa"/>
        <w:jc w:val="left"/>
        <w:tblInd w:w="0" w:type="dxa"/>
        <w:tblLayout w:type="fixed"/>
        <w:tblCellMar>
          <w:top w:w="0" w:type="dxa"/>
          <w:left w:w="0" w:type="dxa"/>
          <w:bottom w:w="0" w:type="dxa"/>
          <w:right w:w="0" w:type="dxa"/>
        </w:tblCellMar>
      </w:tblPr>
      <w:tblGrid>
        <w:gridCol w:w="3736"/>
        <w:gridCol w:w="109"/>
        <w:gridCol w:w="211"/>
        <w:gridCol w:w="1036"/>
        <w:gridCol w:w="109"/>
        <w:gridCol w:w="211"/>
        <w:gridCol w:w="1036"/>
        <w:gridCol w:w="109"/>
        <w:gridCol w:w="211"/>
        <w:gridCol w:w="1036"/>
        <w:gridCol w:w="109"/>
        <w:gridCol w:w="211"/>
        <w:gridCol w:w="108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183,112</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62,462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120,650</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116,516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4,134</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3,911</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(1,003)</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43,875,559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43,688,605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43,855,079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43,629,675</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43,894,182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43,759,597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43,881,278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43,711,030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425" w:type="dxa"/>
        <w:jc w:val="left"/>
        <w:tblInd w:w="0" w:type="dxa"/>
        <w:tblLayout w:type="fixed"/>
        <w:tblCellMar>
          <w:top w:w="0" w:type="dxa"/>
          <w:left w:w="0" w:type="dxa"/>
          <w:bottom w:w="0" w:type="dxa"/>
          <w:right w:w="0" w:type="dxa"/>
        </w:tblCellMar>
      </w:tblPr>
      <w:tblGrid>
        <w:gridCol w:w="2731"/>
        <w:gridCol w:w="109"/>
        <w:gridCol w:w="251"/>
        <w:gridCol w:w="501"/>
        <w:gridCol w:w="129"/>
        <w:gridCol w:w="251"/>
        <w:gridCol w:w="680"/>
        <w:gridCol w:w="109"/>
        <w:gridCol w:w="224"/>
        <w:gridCol w:w="447"/>
        <w:gridCol w:w="115"/>
        <w:gridCol w:w="224"/>
        <w:gridCol w:w="654"/>
      </w:tblGrid>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1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r>
        <w:trPr/>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comprehensive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273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1,216</w:t>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4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3"/>
        <w:gridCol w:w="109"/>
        <w:gridCol w:w="1036"/>
        <w:gridCol w:w="109"/>
        <w:gridCol w:w="338"/>
        <w:gridCol w:w="338"/>
        <w:gridCol w:w="109"/>
        <w:gridCol w:w="211"/>
        <w:gridCol w:w="781"/>
        <w:gridCol w:w="109"/>
        <w:gridCol w:w="255"/>
        <w:gridCol w:w="766"/>
        <w:gridCol w:w="109"/>
        <w:gridCol w:w="415"/>
        <w:gridCol w:w="741"/>
        <w:gridCol w:w="109"/>
        <w:gridCol w:w="211"/>
        <w:gridCol w:w="826"/>
      </w:tblGrid>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44,593,602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121,304</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127,673</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44,652,655</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129,070</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(6,201)</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122,792</w:t>
            </w:r>
          </w:p>
        </w:tc>
      </w:tr>
      <w:tr>
        <w:trPr/>
        <w:tc>
          <w:tcPr>
            <w:tcW w:w="363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44,729,924</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129,807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(6,616)</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123,195</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(36,546)</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307</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(2,744)</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44,779,230</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130,097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(6,224)</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123,877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3633"/>
        <w:gridCol w:w="109"/>
        <w:gridCol w:w="1036"/>
        <w:gridCol w:w="109"/>
        <w:gridCol w:w="338"/>
        <w:gridCol w:w="338"/>
        <w:gridCol w:w="109"/>
        <w:gridCol w:w="211"/>
        <w:gridCol w:w="781"/>
        <w:gridCol w:w="109"/>
        <w:gridCol w:w="255"/>
        <w:gridCol w:w="766"/>
        <w:gridCol w:w="109"/>
        <w:gridCol w:w="415"/>
        <w:gridCol w:w="741"/>
        <w:gridCol w:w="109"/>
        <w:gridCol w:w="211"/>
        <w:gridCol w:w="826"/>
      </w:tblGrid>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1"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44,510,779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119,687</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486,891</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(275,689)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(69,326)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44,652,655</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129,070</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(6,201)</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122,792</w:t>
            </w:r>
          </w:p>
        </w:tc>
      </w:tr>
      <w:tr>
        <w:trPr/>
        <w:tc>
          <w:tcPr>
            <w:tcW w:w="363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44,657,898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129,696</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(6,788)</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122,912</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(264,521)</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w:t>
            </w:r>
          </w:p>
        </w:tc>
      </w:tr>
      <w:tr>
        <w:trPr/>
        <w:tc>
          <w:tcPr>
            <w:tcW w:w="36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(41,278)</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w:t>
            </w:r>
          </w:p>
        </w:tc>
      </w:tr>
      <w:tr>
        <w:trPr/>
        <w:tc>
          <w:tcPr>
            <w:tcW w:w="36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r>
      <w:tr>
        <w:trPr/>
        <w:tc>
          <w:tcPr>
            <w:tcW w:w="36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44,779,230</w:t>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130,097</w:t>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(6,224)</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123,877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1" w:name="CF"/>
      <w:bookmarkEnd w:id="11"/>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138" w:type="dxa"/>
        <w:jc w:val="left"/>
        <w:tblInd w:w="0" w:type="dxa"/>
        <w:tblLayout w:type="fixed"/>
        <w:tblCellMar>
          <w:top w:w="0" w:type="dxa"/>
          <w:left w:w="0" w:type="dxa"/>
          <w:bottom w:w="0" w:type="dxa"/>
          <w:right w:w="0" w:type="dxa"/>
        </w:tblCellMar>
      </w:tblPr>
      <w:tblGrid>
        <w:gridCol w:w="7861"/>
        <w:gridCol w:w="109"/>
        <w:gridCol w:w="211"/>
        <w:gridCol w:w="796"/>
        <w:gridCol w:w="109"/>
        <w:gridCol w:w="211"/>
        <w:gridCol w:w="841"/>
      </w:tblGrid>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disposals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949</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13,404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7,608</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(1,119)</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(10,251)</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23,452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(6,257)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the sale of property, plant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(6,257)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16,721</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25,341</w:t>
            </w:r>
          </w:p>
        </w:tc>
      </w:tr>
      <w:tr>
        <w:trPr/>
        <w:tc>
          <w:tcPr>
            <w:tcW w:w="7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167</w:t>
            </w:r>
          </w:p>
        </w:tc>
      </w:tr>
      <w:tr>
        <w:trPr/>
        <w:tc>
          <w:tcPr>
            <w:tcW w:w="7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2" w:name="Notes"/>
      <w:bookmarkEnd w:id="12"/>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man-made and natural stone tiles, luxury vinyl tiles, setting and maintenance materials, and related accessories in the United States. The Company offers a wide selection of high-quality products, exclusive designs, knowledgeable staff and exceptional customer service, in an extensive showroom environment with up to 50 full-room tiled displays. The Company’s primary market is retail sales to consumers, contractors, designers and home builders. As of June 30, 2025, the Company had 141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Oklahoma and Virginia.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2025 are not necessarily indicative of the results that may be expected for the fiscal year ending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2024. The accounting policies used in preparing these Consolidated Financial Statements are the same as those described in Note 1 to the Consolidated Financial Statements in the Form 10-K filed with the Securities and Exchange Commission (the “SEC”) on February 27, 2025.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Recently Issued Accounting Pronouncements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December 2023, the FASB issued ASU No. 2023-09, </w:t>
      </w:r>
      <w:r>
        <w:rPr>
          <w:rFonts w:ascii="Times New Roman;serif" w:hAnsi="Times New Roman;serif"/>
          <w:b w:val="false"/>
          <w:i/>
          <w:color w:val="000000"/>
          <w:sz w:val="20"/>
        </w:rPr>
        <w:t>Income Taxes (Topic 740): Improvements to Income Tax Disclosures. </w:t>
      </w:r>
      <w:r>
        <w:rPr>
          <w:rFonts w:ascii="Times New Roman;serif" w:hAnsi="Times New Roman;serif"/>
          <w:b w:val="false"/>
          <w:i w:val="false"/>
          <w:caps w:val="false"/>
          <w:smallCaps w:val="false"/>
          <w:color w:val="000000"/>
          <w:sz w:val="20"/>
        </w:rPr>
        <w:t>The amendments in this ASU improve the transparency of income tax disclosures by requiring consistent categories and greater disaggregation of information in the rate reconciliation and income taxes paid disaggregated by jurisdiction. The Company will adopt this guidance as of December 31, 2025. The Company is currently evaluating the impact of this guidance on the Company’s consolidated financial statements and related disclosures.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In November 2024</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the FASB issued ASU </w:t>
      </w:r>
      <w:r>
        <w:rPr>
          <w:rFonts w:ascii="Times New Roman;serif" w:hAnsi="Times New Roman;serif"/>
          <w:b w:val="false"/>
          <w:i/>
          <w:color w:val="000000"/>
          <w:sz w:val="20"/>
        </w:rPr>
        <w:t>No.</w:t>
      </w:r>
      <w:r>
        <w:rPr>
          <w:rFonts w:ascii="Times New Roman;serif" w:hAnsi="Times New Roman;serif"/>
          <w:caps w:val="false"/>
          <w:smallCaps w:val="false"/>
          <w:color w:val="000000"/>
          <w:sz w:val="20"/>
        </w:rPr>
        <w:t> </w:t>
      </w:r>
      <w:r>
        <w:rPr>
          <w:rFonts w:ascii="Times New Roman;serif" w:hAnsi="Times New Roman;serif"/>
          <w:b w:val="false"/>
          <w:i/>
          <w:color w:val="000000"/>
          <w:sz w:val="20"/>
        </w:rPr>
        <w:t>2024</w:t>
      </w:r>
      <w:r>
        <w:rPr>
          <w:rFonts w:ascii="Times New Roman;serif" w:hAnsi="Times New Roman;serif"/>
          <w:b w:val="false"/>
          <w:i w:val="false"/>
          <w:caps w:val="false"/>
          <w:smallCaps w:val="false"/>
          <w:color w:val="000000"/>
          <w:sz w:val="20"/>
        </w:rPr>
        <w:t>-</w:t>
      </w:r>
      <w:r>
        <w:rPr>
          <w:rFonts w:ascii="Times New Roman;serif" w:hAnsi="Times New Roman;serif"/>
          <w:b w:val="false"/>
          <w:i/>
          <w:color w:val="000000"/>
          <w:sz w:val="20"/>
        </w:rPr>
        <w:t>03</w:t>
      </w:r>
      <w:r>
        <w:rPr>
          <w:rFonts w:ascii="Times New Roman;serif" w:hAnsi="Times New Roman;serif"/>
          <w:caps w:val="false"/>
          <w:smallCaps w:val="false"/>
          <w:color w:val="000000"/>
          <w:sz w:val="20"/>
        </w:rPr>
        <w:t> “</w:t>
      </w:r>
      <w:r>
        <w:rPr>
          <w:rFonts w:ascii="Times New Roman;serif" w:hAnsi="Times New Roman;serif"/>
          <w:b w:val="false"/>
          <w:i w:val="false"/>
          <w:caps w:val="false"/>
          <w:smallCaps w:val="false"/>
          <w:color w:val="000000"/>
          <w:sz w:val="20"/>
        </w:rPr>
        <w:t>Income Statement – Reporting Comprehensive Income – Expense Disaggregation Disclosures (Subtopic </w:t>
      </w:r>
      <w:r>
        <w:rPr>
          <w:rFonts w:ascii="Times New Roman;serif" w:hAnsi="Times New Roman;serif"/>
          <w:b w:val="false"/>
          <w:i/>
          <w:color w:val="000000"/>
          <w:sz w:val="20"/>
        </w:rPr>
        <w:t>220</w:t>
      </w:r>
      <w:r>
        <w:rPr>
          <w:rFonts w:ascii="Times New Roman;serif" w:hAnsi="Times New Roman;serif"/>
          <w:b w:val="false"/>
          <w:i w:val="false"/>
          <w:caps w:val="false"/>
          <w:smallCaps w:val="false"/>
          <w:color w:val="000000"/>
          <w:sz w:val="20"/>
        </w:rPr>
        <w:t>-</w:t>
      </w:r>
      <w:r>
        <w:rPr>
          <w:rFonts w:ascii="Times New Roman;serif" w:hAnsi="Times New Roman;serif"/>
          <w:b w:val="false"/>
          <w:i/>
          <w:color w:val="000000"/>
          <w:sz w:val="20"/>
        </w:rPr>
        <w:t>40</w:t>
      </w:r>
      <w:r>
        <w:rPr>
          <w:rFonts w:ascii="Times New Roman;serif" w:hAnsi="Times New Roman;serif"/>
          <w:b w:val="false"/>
          <w:i w:val="false"/>
          <w:caps w:val="false"/>
          <w:smallCaps w:val="false"/>
          <w:color w:val="000000"/>
          <w:sz w:val="20"/>
        </w:rPr>
        <w:t>): Disaggregation of Income Statement Expenses.” This ASU requires public business entities to disclose, for interim and annual reporting periods, additional information about certain income statement expense categories. The requirements are effective for fiscal years beginning after December 15, 2026</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and for interim periods beginning after December 15, 2027</w:t>
      </w:r>
      <w:r>
        <w:rPr>
          <w:rFonts w:ascii="Times New Roman;serif" w:hAnsi="Times New Roman;serif"/>
          <w:b w:val="false"/>
          <w:i/>
          <w:color w:val="000000"/>
          <w:sz w:val="20"/>
        </w:rPr>
        <w:t>. </w:t>
      </w:r>
      <w:r>
        <w:rPr>
          <w:rFonts w:ascii="Times New Roman;serif" w:hAnsi="Times New Roman;serif"/>
          <w:b w:val="false"/>
          <w:i w:val="false"/>
          <w:caps w:val="false"/>
          <w:smallCaps w:val="false"/>
          <w:color w:val="000000"/>
          <w:sz w:val="20"/>
        </w:rPr>
        <w:t>Entities are permitted to apply either the prospective or retrospective transition methods. The Company is currently evaluating the impact that the adoption of this ASU will have on its consolidated financial statements and related disclosures.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7517" w:type="dxa"/>
        <w:jc w:val="left"/>
        <w:tblInd w:w="0" w:type="dxa"/>
        <w:tblLayout w:type="fixed"/>
        <w:tblCellMar>
          <w:top w:w="0" w:type="dxa"/>
          <w:left w:w="0" w:type="dxa"/>
          <w:bottom w:w="0" w:type="dxa"/>
          <w:right w:w="0" w:type="dxa"/>
        </w:tblCellMar>
      </w:tblPr>
      <w:tblGrid>
        <w:gridCol w:w="2911"/>
        <w:gridCol w:w="651"/>
        <w:gridCol w:w="419"/>
        <w:gridCol w:w="168"/>
        <w:gridCol w:w="651"/>
        <w:gridCol w:w="419"/>
        <w:gridCol w:w="109"/>
        <w:gridCol w:w="599"/>
        <w:gridCol w:w="386"/>
        <w:gridCol w:w="155"/>
        <w:gridCol w:w="599"/>
        <w:gridCol w:w="450"/>
      </w:tblGrid>
      <w:tr>
        <w:trPr/>
        <w:tc>
          <w:tcPr>
            <w:tcW w:w="29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230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230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6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5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Man-made tiles</w:t>
            </w:r>
            <w:r>
              <w:rPr>
                <w:rFonts w:ascii="Times New Roman;serif" w:hAnsi="Times New Roman;serif"/>
                <w:b w:val="false"/>
                <w:i w:val="false"/>
                <w:caps w:val="false"/>
                <w:smallCaps w:val="false"/>
                <w:position w:val="7"/>
                <w:sz w:val="16"/>
                <w:sz w:val="20"/>
              </w:rPr>
              <w:t>(1)</w:t>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w:t>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45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38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50" w:type="dxa"/>
            <w:tcBorders/>
            <w:shd w:fill="CCEEFF" w:val="cle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4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50"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8" w:type="dxa"/>
            <w:tcBorders/>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5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Man-made tile revenues include sales of luxury vinyl tile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at the end of a reporting period, revenue will be recognized based on the transaction price allocated to the goods delivered and services rendered. </w:t>
      </w:r>
      <w:bookmarkStart w:id="13" w:name="_Hlk172103773"/>
      <w:bookmarkEnd w:id="13"/>
      <w:r>
        <w:rPr>
          <w:rFonts w:ascii="Times New Roman;serif" w:hAnsi="Times New Roman;serif"/>
          <w:b w:val="false"/>
          <w:i w:val="false"/>
          <w:caps w:val="false"/>
          <w:smallCaps w:val="false"/>
          <w:sz w:val="20"/>
        </w:rPr>
        <w:t>The customer deposit balance was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June 30, 2025 and December 31, 2024, respectively. Revenues recognized during the six months ended June 30, 2025 that were included in the customer deposit balance as of the beginning of the period were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$3.1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June 30, 2025 and December 31, 2024,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June 30, 2025 and December 31, 2024 were as follows:</w:t>
      </w:r>
    </w:p>
    <w:tbl>
      <w:tblPr>
        <w:tblW w:w="4946" w:type="dxa"/>
        <w:jc w:val="left"/>
        <w:tblInd w:w="0" w:type="dxa"/>
        <w:tblLayout w:type="fixed"/>
        <w:tblCellMar>
          <w:top w:w="0" w:type="dxa"/>
          <w:left w:w="0" w:type="dxa"/>
          <w:bottom w:w="0" w:type="dxa"/>
          <w:right w:w="0" w:type="dxa"/>
        </w:tblCellMar>
      </w:tblPr>
      <w:tblGrid>
        <w:gridCol w:w="2686"/>
        <w:gridCol w:w="109"/>
        <w:gridCol w:w="211"/>
        <w:gridCol w:w="571"/>
        <w:gridCol w:w="109"/>
        <w:gridCol w:w="321"/>
        <w:gridCol w:w="939"/>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2,886</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1,099</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1,930</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overhead costs incurred in connection with the production process are included in the value of manufactured finished goods. </w:t>
      </w:r>
      <w:r>
        <w:rPr>
          <w:rFonts w:ascii="Times New Roman;serif" w:hAnsi="Times New Roman;serif"/>
          <w:b w:val="false"/>
          <w:i w:val="false"/>
          <w:caps w:val="false"/>
          <w:smallCaps w:val="false"/>
          <w:sz w:val="20"/>
        </w:rPr>
        <w:t>Inventories were comprised of the following as of June 30, 2025 and December 31, 2024:</w:t>
      </w:r>
    </w:p>
    <w:tbl>
      <w:tblPr>
        <w:tblW w:w="3731" w:type="dxa"/>
        <w:jc w:val="left"/>
        <w:tblInd w:w="0" w:type="dxa"/>
        <w:tblLayout w:type="fixed"/>
        <w:tblCellMar>
          <w:top w:w="0" w:type="dxa"/>
          <w:left w:w="0" w:type="dxa"/>
          <w:bottom w:w="0" w:type="dxa"/>
          <w:right w:w="0" w:type="dxa"/>
        </w:tblCellMar>
      </w:tblPr>
      <w:tblGrid>
        <w:gridCol w:w="1366"/>
        <w:gridCol w:w="109"/>
        <w:gridCol w:w="211"/>
        <w:gridCol w:w="676"/>
        <w:gridCol w:w="109"/>
        <w:gridCol w:w="284"/>
        <w:gridCol w:w="976"/>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6"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84,062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84,255</w:t>
            </w:r>
          </w:p>
        </w:tc>
      </w:tr>
      <w:tr>
        <w:trPr/>
        <w:tc>
          <w:tcPr>
            <w:tcW w:w="1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1,903</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2,012</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86,267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June 30, 2025 and December 31, 2024, respectively. </w:t>
      </w:r>
    </w:p>
    <w:p>
      <w:pPr>
        <w:pStyle w:val="TextBody"/>
        <w:bidi w:val="0"/>
        <w:spacing w:lineRule="auto" w:line="259"/>
        <w:rPr>
          <w:rFonts w:ascii="Times New Roman;serif" w:hAnsi="Times New Roman;serif"/>
          <w:b/>
          <w:i w:val="false"/>
          <w:caps w:val="false"/>
          <w:smallCaps w:val="false"/>
          <w:sz w:val="20"/>
        </w:rPr>
      </w:pPr>
      <w:bookmarkStart w:id="14" w:name="_Hlk116897468"/>
      <w:bookmarkStart w:id="15" w:name="_Hlk203721703"/>
      <w:bookmarkEnd w:id="14"/>
      <w:bookmarkEnd w:id="15"/>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Effective tax rates for the six months ended June 30, 2025 and 2024 were based on the Company’s forecasted annualized effective tax rates and were adjusted for discrete items that occurred within each period. The Company’s effective tax rate was 16.4% and 32.1% for three months ended June 30, 2025 and 2024, respectively. The Company’s effective tax rate for the six months ended June 30, 2025 and 2024 </w:t>
      </w:r>
      <w:r>
        <w:rPr>
          <w:rFonts w:ascii="Times New Roman;serif" w:hAnsi="Times New Roman;serif"/>
          <w:b w:val="false"/>
          <w:i w:val="false"/>
          <w:caps w:val="false"/>
          <w:smallCaps w:val="false"/>
          <w:color w:val="000000"/>
          <w:sz w:val="20"/>
        </w:rPr>
        <w:t xml:space="preserve">was 15.8% and 25.6%, respectively. </w:t>
      </w:r>
      <w:r>
        <w:rPr>
          <w:rFonts w:ascii="Times New Roman;serif" w:hAnsi="Times New Roman;serif"/>
          <w:b w:val="false"/>
          <w:i w:val="false"/>
          <w:caps w:val="false"/>
          <w:smallCaps w:val="false"/>
          <w:sz w:val="20"/>
        </w:rPr>
        <w:t>The effective income tax rate was lower than the statutory federal income tax rate of 21.0%, primarily due to the decrease in pretax earnings and the impact of certain permanent differences.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June 30, 2025 and 2024, the Company had not recognized any liabilities for uncertain tax positions, nor had interest and penalties related to uncertain tax positions been accrued.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4, 2025, the One Big Beautiful Bill Act (“OBBBA”) was enacted in the U.S. The OBBBA makes permanent the extension of certain provisions of the Tax Cuts and Jobs Act that were set to expire at the end of 2025. Additionally, the OBBBA makes changes to certain U.S. corporate tax provisions. The legislation has multiple effective dates, with certain provisions effective in 2025 and others implemented through 2027. The Company is currently assessing the impact of the OBBBA on its 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has not adjusted its tax provision based on the changes that may be triggered by OBBBA as the OBBBA was signed into law after June 30, 2025.</w:t>
      </w:r>
    </w:p>
    <w:p>
      <w:pPr>
        <w:pStyle w:val="TextBody"/>
        <w:bidi w:val="0"/>
        <w:spacing w:lineRule="auto" w:line="259"/>
        <w:rPr>
          <w:rFonts w:ascii="Times New Roman;serif" w:hAnsi="Times New Roman;serif"/>
          <w:b/>
          <w:i w:val="false"/>
          <w:caps w:val="false"/>
          <w:smallCaps w:val="false"/>
          <w:sz w:val="20"/>
        </w:rPr>
      </w:pPr>
      <w:bookmarkStart w:id="16" w:name="_contentSection_60a5fc31_33a6_4e18_9dcb_"/>
      <w:bookmarkEnd w:id="16"/>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10205" w:type="dxa"/>
        <w:jc w:val="left"/>
        <w:tblInd w:w="0" w:type="dxa"/>
        <w:tblLayout w:type="fixed"/>
        <w:tblCellMar>
          <w:top w:w="0" w:type="dxa"/>
          <w:left w:w="0" w:type="dxa"/>
          <w:bottom w:w="0" w:type="dxa"/>
          <w:right w:w="0" w:type="dxa"/>
        </w:tblCellMar>
      </w:tblPr>
      <w:tblGrid>
        <w:gridCol w:w="4845"/>
        <w:gridCol w:w="211"/>
        <w:gridCol w:w="1036"/>
        <w:gridCol w:w="109"/>
        <w:gridCol w:w="211"/>
        <w:gridCol w:w="1036"/>
        <w:gridCol w:w="109"/>
        <w:gridCol w:w="211"/>
        <w:gridCol w:w="1036"/>
        <w:gridCol w:w="109"/>
        <w:gridCol w:w="211"/>
        <w:gridCol w:w="1081"/>
      </w:tblGrid>
      <w:tr>
        <w:trPr/>
        <w:tc>
          <w:tcPr>
            <w:tcW w:w="4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before="0" w:after="283"/>
              <w:jc w:val="left"/>
              <w:rPr>
                <w:sz w:val="4"/>
                <w:szCs w:val="4"/>
              </w:rPr>
            </w:pPr>
            <w:r>
              <w:rPr>
                <w:sz w:val="4"/>
                <w:szCs w:val="4"/>
              </w:rPr>
            </w:r>
          </w:p>
        </w:tc>
        <w:tc>
          <w:tcPr>
            <w:tcW w:w="5360"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4845"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six months ended</w:t>
            </w:r>
          </w:p>
        </w:tc>
      </w:tr>
      <w:tr>
        <w:trPr/>
        <w:tc>
          <w:tcPr>
            <w:tcW w:w="4845"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4845"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43,875,559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43,688,605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43,855,079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43,629,675</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81,355</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43,894,182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43,759,597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43,881,278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43,711,030</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48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48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384,145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211,513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128,650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4886" w:type="dxa"/>
        <w:jc w:val="left"/>
        <w:tblInd w:w="0" w:type="dxa"/>
        <w:tblLayout w:type="fixed"/>
        <w:tblCellMar>
          <w:top w:w="0" w:type="dxa"/>
          <w:left w:w="0" w:type="dxa"/>
          <w:bottom w:w="0" w:type="dxa"/>
          <w:right w:w="0" w:type="dxa"/>
        </w:tblCellMar>
      </w:tblPr>
      <w:tblGrid>
        <w:gridCol w:w="2521"/>
        <w:gridCol w:w="109"/>
        <w:gridCol w:w="211"/>
        <w:gridCol w:w="676"/>
        <w:gridCol w:w="109"/>
        <w:gridCol w:w="284"/>
        <w:gridCol w:w="976"/>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6"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10,882</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3,284</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2,886</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4,585</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2,262</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2,107</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5,184</w:t>
            </w:r>
          </w:p>
        </w:tc>
      </w:tr>
      <w:tr>
        <w:trPr/>
        <w:tc>
          <w:tcPr>
            <w:tcW w:w="25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27,855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25,644</w:t>
            </w:r>
          </w:p>
        </w:tc>
      </w:tr>
    </w:tbl>
    <w:p>
      <w:pPr>
        <w:pStyle w:val="TextBody"/>
        <w:bidi w:val="0"/>
        <w:spacing w:lineRule="auto" w:line="259"/>
        <w:rPr>
          <w:rFonts w:ascii="Times New Roman;serif" w:hAnsi="Times New Roman;serif"/>
          <w:b/>
          <w:i w:val="false"/>
          <w:caps w:val="false"/>
          <w:smallCaps w:val="false"/>
          <w:sz w:val="20"/>
        </w:rPr>
      </w:pPr>
      <w:bookmarkStart w:id="17" w:name="_Hlk116901918"/>
      <w:bookmarkEnd w:id="17"/>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w:t>
      </w:r>
      <w:r>
        <w:rPr>
          <w:rFonts w:ascii="Times New Roman;serif" w:hAnsi="Times New Roman;serif"/>
          <w:b w:val="false"/>
          <w:i w:val="false"/>
          <w:caps w:val="false"/>
          <w:smallCaps w:val="false"/>
          <w:sz w:val="20"/>
        </w:rPr>
        <w:t>September 30, 2022</w:t>
      </w:r>
      <w:r>
        <w:rPr>
          <w:rFonts w:ascii="Times New Roman;serif" w:hAnsi="Times New Roman;serif"/>
          <w:b w:val="false"/>
          <w:i w:val="false"/>
          <w:caps w:val="false"/>
          <w:smallCaps w:val="false"/>
          <w:color w:val="000000"/>
          <w:sz w:val="20"/>
        </w:rPr>
        <w:t>,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 </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1.00 and a Rent Adjusted Leverage Ratio (as defined in the Credit Agreement) of no greater than 3.50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to 1.00. </w:t>
      </w:r>
      <w:r>
        <w:rPr>
          <w:rFonts w:ascii="Times New Roman;serif" w:hAnsi="Times New Roman;serif"/>
          <w:b w:val="false"/>
          <w:i w:val="false"/>
          <w:caps w:val="false"/>
          <w:smallCaps w:val="false"/>
          <w:sz w:val="20"/>
        </w:rPr>
        <w:t>The Company was in compliance with the covenants as of June 30, 2025.</w:t>
      </w:r>
    </w:p>
    <w:p>
      <w:pPr>
        <w:pStyle w:val="TextBody"/>
        <w:bidi w:val="0"/>
        <w:spacing w:lineRule="auto" w:line="259"/>
        <w:rPr>
          <w:rFonts w:ascii="Times New Roman;serif" w:hAnsi="Times New Roman;serif"/>
          <w:sz w:val="20"/>
        </w:rPr>
      </w:pPr>
      <w:bookmarkStart w:id="18" w:name="_Hlk172105462"/>
      <w:bookmarkEnd w:id="18"/>
      <w:r>
        <w:rPr>
          <w:rFonts w:ascii="Times New Roman;serif" w:hAnsi="Times New Roman;serif"/>
          <w:b w:val="false"/>
          <w:i w:val="false"/>
          <w:caps w:val="false"/>
          <w:smallCaps w:val="false"/>
          <w:color w:val="000000"/>
          <w:sz w:val="20"/>
        </w:rPr>
        <w:t>The Company had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borrowings outstanding on its line of credit as of June 30, 2025. The Company has standby letters of credit outstanding related to its workers’ compensation and medical insurance policies. As of June 30, 2025, standby letters of credit totaled $1.2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 of June 30, 2025, there was $73.8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available for borrowing on the revolving line of credit, which may be used for maintaining the Company’s existing stores, purchasing additional merchandise inventory, and general corporate purposes.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W w:w="8234" w:type="dxa"/>
        <w:jc w:val="left"/>
        <w:tblInd w:w="0" w:type="dxa"/>
        <w:tblLayout w:type="fixed"/>
        <w:tblCellMar>
          <w:top w:w="0" w:type="dxa"/>
          <w:left w:w="0" w:type="dxa"/>
          <w:bottom w:w="0" w:type="dxa"/>
          <w:right w:w="0" w:type="dxa"/>
        </w:tblCellMar>
      </w:tblPr>
      <w:tblGrid>
        <w:gridCol w:w="1891"/>
        <w:gridCol w:w="2731"/>
        <w:gridCol w:w="109"/>
        <w:gridCol w:w="211"/>
        <w:gridCol w:w="1246"/>
        <w:gridCol w:w="109"/>
        <w:gridCol w:w="211"/>
        <w:gridCol w:w="1726"/>
      </w:tblGrid>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2024</w:t>
            </w:r>
          </w:p>
        </w:tc>
      </w:tr>
      <w:tr>
        <w:trPr/>
        <w:tc>
          <w:tcPr>
            <w:tcW w:w="18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132,332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132,861</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7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28,880</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113,700</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141,718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142,580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tbl>
      <w:tblPr>
        <w:tblW w:w="6749" w:type="dxa"/>
        <w:jc w:val="left"/>
        <w:tblInd w:w="0" w:type="dxa"/>
        <w:tblLayout w:type="fixed"/>
        <w:tblCellMar>
          <w:top w:w="0" w:type="dxa"/>
          <w:left w:w="0" w:type="dxa"/>
          <w:bottom w:w="0" w:type="dxa"/>
          <w:right w:w="0" w:type="dxa"/>
        </w:tblCellMar>
      </w:tblPr>
      <w:tblGrid>
        <w:gridCol w:w="2161"/>
        <w:gridCol w:w="1411"/>
        <w:gridCol w:w="109"/>
        <w:gridCol w:w="211"/>
        <w:gridCol w:w="1246"/>
        <w:gridCol w:w="109"/>
        <w:gridCol w:w="211"/>
        <w:gridCol w:w="1291"/>
      </w:tblGrid>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2024</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9,378</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3,791</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13,190</w:t>
            </w:r>
          </w:p>
        </w:tc>
      </w:tr>
    </w:tbl>
    <w:tbl>
      <w:tblPr>
        <w:tblW w:w="6749" w:type="dxa"/>
        <w:jc w:val="left"/>
        <w:tblInd w:w="0" w:type="dxa"/>
        <w:tblLayout w:type="fixed"/>
        <w:tblCellMar>
          <w:top w:w="0" w:type="dxa"/>
          <w:left w:w="0" w:type="dxa"/>
          <w:bottom w:w="0" w:type="dxa"/>
          <w:right w:w="0" w:type="dxa"/>
        </w:tblCellMar>
      </w:tblPr>
      <w:tblGrid>
        <w:gridCol w:w="2161"/>
        <w:gridCol w:w="1411"/>
        <w:gridCol w:w="109"/>
        <w:gridCol w:w="211"/>
        <w:gridCol w:w="1246"/>
        <w:gridCol w:w="109"/>
        <w:gridCol w:w="211"/>
        <w:gridCol w:w="1291"/>
      </w:tblGrid>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Six Months Ended </w:t>
            </w:r>
          </w:p>
        </w:tc>
      </w:tr>
      <w:tr>
        <w:trPr/>
        <w:tc>
          <w:tcPr>
            <w:tcW w:w="216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2024</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18,915</w:t>
            </w:r>
          </w:p>
        </w:tc>
      </w:tr>
      <w:tr>
        <w:trPr/>
        <w:tc>
          <w:tcPr>
            <w:tcW w:w="216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7,549</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w:t>
            </w:r>
          </w:p>
        </w:tc>
      </w:tr>
      <w:tr>
        <w:trPr/>
        <w:tc>
          <w:tcPr>
            <w:tcW w:w="2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26,562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9748" w:type="dxa"/>
        <w:jc w:val="left"/>
        <w:tblInd w:w="0" w:type="dxa"/>
        <w:tblLayout w:type="fixed"/>
        <w:tblCellMar>
          <w:top w:w="0" w:type="dxa"/>
          <w:left w:w="0" w:type="dxa"/>
          <w:bottom w:w="0" w:type="dxa"/>
          <w:right w:w="0" w:type="dxa"/>
        </w:tblCellMar>
      </w:tblPr>
      <w:tblGrid>
        <w:gridCol w:w="6571"/>
        <w:gridCol w:w="109"/>
        <w:gridCol w:w="211"/>
        <w:gridCol w:w="1246"/>
        <w:gridCol w:w="109"/>
        <w:gridCol w:w="211"/>
        <w:gridCol w:w="1291"/>
      </w:tblGrid>
      <w:tr>
        <w:trPr/>
        <w:tc>
          <w:tcPr>
            <w:tcW w:w="6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Six Months Ended </w:t>
            </w:r>
          </w:p>
        </w:tc>
      </w:tr>
      <w:tr>
        <w:trPr/>
        <w:tc>
          <w:tcPr>
            <w:tcW w:w="65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30, 2024</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19,363</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15,199</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second quarter of 2025, the Company entered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sublease agreements for its distribution center space in New Jersey, which was closed in 2024. These sublease agreements commenced in the second quarter of 2025 and will expire in August 2026. The Company anticipates the sublease agreements will generate approximately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sublease income in 2025 and an additional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sublease income in 2026 which will be classified as a reduction of its SG&amp;A expense. During the three and six months ended June 30, 2025, the Company collected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sublease income. The Company’s lease of the distribution space in New Jersey terminates in September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June 30, 2025 and December 31, 2024 according to the valuation techniques the Company uses to determine their fair values. There have been no transfers of assets among the fair value hierarchies presented.</w:t>
      </w:r>
    </w:p>
    <w:tbl>
      <w:tblPr>
        <w:tblW w:w="6419" w:type="dxa"/>
        <w:jc w:val="left"/>
        <w:tblInd w:w="0" w:type="dxa"/>
        <w:tblLayout w:type="fixed"/>
        <w:tblCellMar>
          <w:top w:w="0" w:type="dxa"/>
          <w:left w:w="0" w:type="dxa"/>
          <w:bottom w:w="0" w:type="dxa"/>
          <w:right w:w="0" w:type="dxa"/>
        </w:tblCellMar>
      </w:tblPr>
      <w:tblGrid>
        <w:gridCol w:w="2266"/>
        <w:gridCol w:w="109"/>
        <w:gridCol w:w="856"/>
        <w:gridCol w:w="109"/>
        <w:gridCol w:w="296"/>
        <w:gridCol w:w="949"/>
        <w:gridCol w:w="109"/>
        <w:gridCol w:w="389"/>
        <w:gridCol w:w="1336"/>
      </w:tblGrid>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vAlign w:val="center"/>
          </w:tcPr>
          <w:p>
            <w:pPr>
              <w:pStyle w:val="TableContents"/>
              <w:bidi w:val="0"/>
              <w:spacing w:before="0" w:after="283"/>
              <w:jc w:val="left"/>
              <w:rPr>
                <w:sz w:val="4"/>
                <w:szCs w:val="4"/>
              </w:rPr>
            </w:pPr>
            <w:r>
              <w:rPr>
                <w:sz w:val="4"/>
                <w:szCs w:val="4"/>
              </w:rPr>
            </w:r>
          </w:p>
        </w:tc>
        <w:tc>
          <w:tcPr>
            <w:tcW w:w="3079"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r>
      <w:tr>
        <w:trPr/>
        <w:tc>
          <w:tcPr>
            <w:tcW w:w="2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9"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bank deposits and money market funds primarily held in short term US treasury securities.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During the three and six months ended June 30, 2025, the Company recorded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impairment charges in selling, general and administrative expenses to write-down property, plant and equipment to their estimated fair values. During the three and six months ended June 30, 2024, the Company recorded $0.9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impairment charges.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w:t>
      </w:r>
    </w:p>
    <w:p>
      <w:pPr>
        <w:pStyle w:val="TextBody"/>
        <w:bidi w:val="0"/>
        <w:spacing w:lineRule="auto" w:line="259" w:before="0" w:after="240"/>
        <w:rPr>
          <w:rFonts w:ascii="Times New Roman;serif" w:hAnsi="Times New Roman;serif"/>
          <w:sz w:val="20"/>
        </w:rPr>
      </w:pPr>
      <w:r>
        <w:rPr>
          <w:rFonts w:ascii="Times New Roman;serif" w:hAnsi="Times New Roman;serif"/>
          <w:b w:val="false"/>
          <w:i w:val="false"/>
          <w:caps w:val="false"/>
          <w:smallCaps w:val="false"/>
          <w:sz w:val="20"/>
        </w:rPr>
        <w:t>During the three and six months ended June 30, 2025, the Company recorded a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adjustment to reflect an increase in the fair value to restore leased property to its original condition at the end of the lease. The change in the estimated value of the Company’s asset retirement obligation resulted in a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increase in other long-term liabilities that was offset by a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increase in property, plant and equipment and a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asset impairment charge. The Company measured the fair value of its asset retirement obligation based on the estimated amounts and timing of settlements, an estimated risk adjusted rate of return, and expected inflation rates, which are considered Level 2 inputs.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bookmarkStart w:id="19" w:name="_Hlk179982484"/>
      <w:bookmarkStart w:id="20" w:name="_Hlk164426340"/>
      <w:bookmarkEnd w:id="19"/>
      <w:bookmarkEnd w:id="20"/>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measures and recognizes compensation expense for all stock based awards at fair value. The financial statements for the three and six months ended June 30, 2025 and 2024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significant stock based compensation expense related to stock options during the three and six months ended June 30, 2025 and 2024. Stock based compensation expense pertaining to stock options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the Company had fully vested outstanding stock options to purchase 295,367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$7.07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w:t>
      </w:r>
      <w:bookmarkStart w:id="21" w:name="_Hlk203461680"/>
      <w:bookmarkEnd w:id="21"/>
      <w:r>
        <w:rPr>
          <w:rFonts w:ascii="Times New Roman;serif" w:hAnsi="Times New Roman;serif"/>
          <w:b w:val="false"/>
          <w:i w:val="false"/>
          <w:caps w:val="false"/>
          <w:smallCaps w:val="false"/>
          <w:sz w:val="20"/>
        </w:rPr>
        <w:t>Total stock based compensation expense related to restricted stock was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both the three months ended June 30, 2025 and 2024, respectively. Total stock based compensation expense related to restricted stock was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both the six months ended June 30, 2025 and 2024, respectively. Stock based compensation expense pertaining to restricted stock awards is included in selling, general and administrative expenses in the accompanying Consolidated Statements of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2025, the Company had 813,255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unvested outstanding restricted common shares.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 11: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Chief Executive Officer is the Chief Operating Decision Maker (“CODM”). The CODM utilizes the Company’s annual budget planning process, which includes Company-wide initiatives, as a key input to resource allocation. The CODM makes decisions on resource allocation and evaluates financial performance on a total Company basis; therefore, the Company has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The Company earns most of its revenue in the United States. Long-lived assets, which consist of property and equipment, net and operating lease right of use assets, are all located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concluded that consolidated net income is the measure of segment profitability. The following table presents the Company’s segment revenue and gross profit, significant segment expenses, segment income from operations and net income provided to the CODM:</w:t>
      </w:r>
    </w:p>
    <w:tbl>
      <w:tblPr>
        <w:tblW w:w="9118" w:type="dxa"/>
        <w:jc w:val="left"/>
        <w:tblInd w:w="0" w:type="dxa"/>
        <w:tblLayout w:type="fixed"/>
        <w:tblCellMar>
          <w:top w:w="0" w:type="dxa"/>
          <w:left w:w="0" w:type="dxa"/>
          <w:bottom w:w="0" w:type="dxa"/>
          <w:right w:w="0" w:type="dxa"/>
        </w:tblCellMar>
      </w:tblPr>
      <w:tblGrid>
        <w:gridCol w:w="4591"/>
        <w:gridCol w:w="109"/>
        <w:gridCol w:w="211"/>
        <w:gridCol w:w="748"/>
        <w:gridCol w:w="109"/>
        <w:gridCol w:w="211"/>
        <w:gridCol w:w="748"/>
        <w:gridCol w:w="109"/>
        <w:gridCol w:w="211"/>
        <w:gridCol w:w="853"/>
        <w:gridCol w:w="109"/>
        <w:gridCol w:w="211"/>
        <w:gridCol w:w="898"/>
      </w:tblGrid>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8" w:type="dxa"/>
            <w:gridSpan w:val="11"/>
            <w:tcBorders/>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gridSpan w:val="5"/>
            <w:tcBorders/>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282" w:type="dxa"/>
            <w:gridSpan w:val="5"/>
            <w:tcBorders/>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gridSpan w:val="5"/>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282" w:type="dxa"/>
            <w:gridSpan w:val="5"/>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4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183,112</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62,462</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120,650</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9,344</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105,408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106,500</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4,134</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3,911</w:t>
            </w:r>
          </w:p>
        </w:tc>
      </w:tr>
      <w:tr>
        <w:trPr/>
        <w:tc>
          <w:tcPr>
            <w:tcW w:w="459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(1,003)</w:t>
            </w:r>
          </w:p>
        </w:tc>
      </w:tr>
      <w:tr>
        <w:trPr/>
        <w:tc>
          <w:tcPr>
            <w:tcW w:w="4591" w:type="dxa"/>
            <w:tcBorders/>
            <w:shd w:fill="CCEEFF" w:val="clear"/>
            <w:vAlign w:val="center"/>
          </w:tcPr>
          <w:p>
            <w:pPr>
              <w:pStyle w:val="TableContents"/>
              <w:bidi w:val="0"/>
              <w:spacing w:lineRule="auto" w:line="259" w:before="1" w:after="1"/>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*Exclusive of stock based compensation and depreciation and amortization shown separately.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2" w:name="MDA"/>
      <w:bookmarkEnd w:id="22"/>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2024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3" w:name="_Hlk38913879"/>
      <w:bookmarkEnd w:id="23"/>
      <w:r>
        <w:rPr>
          <w:rFonts w:ascii="Times New Roman;serif" w:hAnsi="Times New Roman;serif"/>
          <w:b w:val="false"/>
          <w:i/>
          <w:color w:val="000000"/>
          <w:sz w:val="20"/>
        </w:rPr>
        <w:t>our business strengths, marketing strategies, competitive advantages and role in our industry and markets</w:t>
      </w:r>
      <w:bookmarkStart w:id="24" w:name="OLE_LINK179"/>
      <w:bookmarkEnd w:id="24"/>
      <w:r>
        <w:rPr>
          <w:rFonts w:ascii="Times New Roman;serif" w:hAnsi="Times New Roman;serif"/>
          <w:b w:val="false"/>
          <w:i/>
          <w:color w:val="000000"/>
          <w:sz w:val="20"/>
        </w:rPr>
        <w:t xml:space="preserve">; </w:t>
      </w:r>
      <w:bookmarkStart w:id="25" w:name="OLE_LINK178"/>
      <w:bookmarkEnd w:id="25"/>
      <w:r>
        <w:rPr>
          <w:rFonts w:ascii="Times New Roman;serif" w:hAnsi="Times New Roman;serif"/>
          <w:b w:val="false"/>
          <w:i/>
          <w:color w:val="000000"/>
          <w:sz w:val="20"/>
        </w:rPr>
        <w:t>an overall decline in the health of the economy, the tile industry, consumer confidence and spending, and the housing market, including as a result of high inflation or fluctuating interest rates, tariffs and other trade barriers and restrictions, instability in the global banking system, geopolitical instability or the possibility of an economic downturn or recession</w:t>
      </w:r>
      <w:r>
        <w:rPr>
          <w:rFonts w:ascii="Times New Roman;serif" w:hAnsi="Times New Roman;serif"/>
          <w:color w:val="000000"/>
          <w:sz w:val="20"/>
        </w:rPr>
        <w:t xml:space="preserve"> </w:t>
      </w:r>
      <w:r>
        <w:rPr>
          <w:rFonts w:ascii="Times New Roman;serif" w:hAnsi="Times New Roman;serif"/>
          <w:b w:val="false"/>
          <w:i/>
          <w:color w:val="000000"/>
          <w:sz w:val="20"/>
        </w:rPr>
        <w:t>or other macroeconomic factors; the impact of ongoing supply chain disruptions (including tariffs)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including the impacts of tariffs and other trade barriers and restrictions and resulting volatility in the financial, capital and bond markets,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the impact of U.S. trade tensions, including increased tariffs and retaliatory measures imposed by foreign governments; our expectations with respect to ongoing compliance with the terms of the Credit Agreement (as defined below), including fluctuating interest rates; our ability to provide timely delivery to our customers; the effect of regulations on us and our industry, and our suppliers’ compliance with such regulations, including any environmental requirements; the impact of corporate citizenship; labor shortages and our expectations regarding the effects of employee recruiting, training, mentoring, and retention on our business; tax-related risks; the potential impact of cybersecurity breaches or disruptions to our management information systems or to third-party information technology systems upon which we rely; widespread outages, interruptions or other failures of operational, communication, or other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and other catastrophic events; risks inherent in operating as a holding company; our ability to maintain effective internal control over financial reporting; the potential outcome of any legal proceedings; risks related to ownership of our common stock;</w:t>
      </w:r>
      <w:r>
        <w:rPr>
          <w:rFonts w:ascii="Times New Roman;serif" w:hAnsi="Times New Roman;serif"/>
          <w:sz w:val="20"/>
        </w:rPr>
        <w:t xml:space="preserve"> </w:t>
      </w:r>
      <w:r>
        <w:rPr>
          <w:rFonts w:ascii="Times New Roman;serif" w:hAnsi="Times New Roman;serif"/>
          <w:b w:val="false"/>
          <w:i/>
          <w:sz w:val="20"/>
        </w:rPr>
        <w:t>and those factors set forth in the section captioned “Risk Factors” in our Annual Report on Form 10-K for the year ended December 31, 2024.</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sz w:val="20"/>
        </w:rPr>
      </w:pPr>
      <w:bookmarkStart w:id="26" w:name="_contentSection_bc88730b_8626_44e0_ae06_"/>
      <w:bookmarkEnd w:id="26"/>
      <w:r>
        <w:rPr>
          <w:rFonts w:ascii="Times New Roman;serif" w:hAnsi="Times New Roman;serif"/>
          <w:b/>
          <w:i w:val="false"/>
          <w:caps w:val="false"/>
          <w:smallCaps w:val="false"/>
          <w:sz w:val="20"/>
        </w:rPr>
        <w:t>Introduction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Management’s Discussion and Analysis of Financial Condition and Results of Operations (MD&amp;A) should be read in conjunction with the MD&amp;A included in our Annual Report on Form 10-K for the fiscal year ended December 31, 2024, for important background regarding, among other things, our key business drivers.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light of ongoing changes to U.S. trade policy, including the imposition of elevated tariffs on certain imported goods, the Company is evaluating a range of strategic options to manage the anticipated cost pressures including sourcing adjustments and pricing strategies.  The degree of our exposure is dependent on (among other things) the type of goods, rates imposed and timing of the tariffs. We continue to analyze the impact of these tariffs on our business and actions we can take to minimize their impact.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there is meaningful uncertainty related to the confluence of different macroeconomic factors that could influence business conditions in the U.S. While our risk expectation is that these different factors will moderate in the future, the timing and precise outlook for these improvements is uncertain.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man-made and natural stone tiles, luxury vinyl tiles, setting and maintenance materials, and related accessories in the United States. We offer a wide selection of high-quality products, exclusive designs, knowledgeable staff and exceptional customer service, in an extensive showroom environment with up to 50 full-room tiled displays. As of June 30, 2025, we operated 141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man-made and natural stone, luxury vinyl tiles, setting and maintenance materials, and related accessories in the United States.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serve customers who seek to undertake a wide range of projects; however, many end customers choose to work with us when they choose to remodel their home. Historically, we have monitored existing home sales trends as a leading indicator of demand in our industry. While existing home sales trends have moderated in recent quarters, the level of existing home sales remains at historically low levels. We believe this has resulted in lower levels of demand for home improvement products and has affected our store traffic. Our comparable store sales decreased by 3.5% </w:t>
      </w:r>
      <w:r>
        <w:rPr>
          <w:rFonts w:ascii="Times New Roman;serif" w:hAnsi="Times New Roman;serif"/>
          <w:b w:val="false"/>
          <w:i w:val="false"/>
          <w:caps w:val="false"/>
          <w:smallCaps w:val="false"/>
          <w:color w:val="000000"/>
          <w:sz w:val="20"/>
        </w:rPr>
        <w:t xml:space="preserve">and 3.8% during the three and six months ended June 30, 2025, respectively, </w:t>
      </w:r>
      <w:r>
        <w:rPr>
          <w:rFonts w:ascii="Times New Roman;serif" w:hAnsi="Times New Roman;serif"/>
          <w:b w:val="false"/>
          <w:i w:val="false"/>
          <w:caps w:val="false"/>
          <w:smallCaps w:val="false"/>
          <w:sz w:val="20"/>
        </w:rPr>
        <w:t>due to lower levels of traffic in our stores.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gross margin rate decreased by (160) basis points to 64.4% during the second quarter of 2025 as compared to 66.0% during the second quarter of 2024. The decrease in gross margin rate was due to higher levels of discounting during the second quarter of 2025 combined with an increase in product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Many of the items we carry in our assortment are imported from vendors outside the U.S. We face uncertainty related to tariffs and other trade policies, which may increase the costs of securing products from our vendors. Tariffs and other non-tariff trade practices and policies may adversely affect our business in other ways beyond increased costs for our products. Historically, we have taken steps to shift our sourcing strategy away from countries with higher tariff rates in favor of other jurisdictions, but these countermeasures may prove to be ineffective and the ability to predict tariff rates in different countries may be difficult as policies may change on short notice. Uncertainty about trade policy, tariff rates, retaliatory tariffs, and other changes in practices affecting international trade might have an adverse effect on our business and results of operation and we may face challenges in implementing the optimal responses to changing trade conditions.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decreased $2.1 million, or 3.6%, from $58.5 million in the second quarter of 2024 to $56.4 million in the second quarter of 2025. The decrease was primarily due to a $0.8 million decrease in asset impairment, a $0.7 million reduction in SG&amp;A associated with the closure of our New Jersey distribution center, a $0.7 million decrease in marketing costs and a $0.4 million decrease in depreciation that were partially offset by a $0.4 million write-off of display supplies.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response to the continued challenges facing our industry and our topline results, we closed our distribution center based in Spring Valley, WI during the second quarter of 2025. We did not incur any material asset impairment or severance costs in connection with this distribution center closure. We anticipate the annualized benefit from closing this distribution center will be approximately $1.0 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we closed one store during the second quarter at the end of its lease term. We did not incur any material asset impairment or severance costs in connection with this closure. Additionally, we closed a second store during the third quarter at the end of its lease term.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4, 2025, the OBBBA was enacted in the U.S. The OBBBA makes permanent the extension of certain provisions of the Tax Cuts and Jobs Act that were set to expire at the end of 2025. Additionally, the OBBBA makes changes to certain U.S. corporate tax provisions. The legislation has multiple effective dates, with certain provisions effective in 2025 and others implemented through 2027. We are currently assessing the impact of the OBBBA on our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six months ended June 30, 2025, we generated $13.5 million of operating cash flow, which was used to fund $6.5 million of capital expenditures. Cash and cash equivalents increased by $6.8 million from $21.0 million on December 31, 2024 to $27.8 million on June 30, 2025. As of June 30, 2025, we had no borrowings outstanding on our line of credit. </w:t>
      </w:r>
    </w:p>
    <w:p>
      <w:pPr>
        <w:pStyle w:val="TextBody"/>
        <w:bidi w:val="0"/>
        <w:spacing w:lineRule="auto" w:line="259"/>
        <w:rPr>
          <w:rFonts w:ascii="Times New Roman;serif" w:hAnsi="Times New Roman;serif"/>
          <w:b/>
          <w:i w:val="false"/>
          <w:caps w:val="false"/>
          <w:smallCaps w:val="false"/>
          <w:sz w:val="20"/>
        </w:rPr>
      </w:pPr>
      <w:bookmarkStart w:id="27" w:name="_contentSection_b9b2880d_9a04_448c_8fe1_"/>
      <w:bookmarkEnd w:id="27"/>
      <w:r>
        <w:rPr>
          <w:rFonts w:ascii="Times New Roman;serif" w:hAnsi="Times New Roman;serif"/>
          <w:b/>
          <w:i w:val="false"/>
          <w:caps w:val="false"/>
          <w:smallCaps w:val="false"/>
          <w:sz w:val="20"/>
        </w:rPr>
        <w:t>Key Components of our Consolidated Statements of Income</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Net sales represents total charges to customers, net of returns, and includes freight charged to customers. We recognize sales at the time that the customer takes control of the merchandise or final delivery of the product has occurred. We are required to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 New Roman;serif" w:hAnsi="Times New Roman;serif"/>
          <w:sz w:val="20"/>
        </w:rPr>
      </w:pPr>
      <w:r>
        <w:rPr>
          <w:rFonts w:ascii="Times New Roman;serif" w:hAnsi="Times New Roman;serif"/>
          <w:b/>
          <w:i/>
          <w:sz w:val="20"/>
        </w:rPr>
        <w:t>Gross Profit</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profit is net sales less cost of sales. Gross margin rate is the percentage determined by dividing gross profit by net sales.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June 30, 2025 to the three months ended June 30, 2024</w:t>
      </w:r>
    </w:p>
    <w:tbl>
      <w:tblPr>
        <w:tblW w:w="7821" w:type="dxa"/>
        <w:jc w:val="left"/>
        <w:tblInd w:w="0" w:type="dxa"/>
        <w:tblLayout w:type="fixed"/>
        <w:tblCellMar>
          <w:top w:w="0" w:type="dxa"/>
          <w:left w:w="0" w:type="dxa"/>
          <w:bottom w:w="0" w:type="dxa"/>
          <w:right w:w="0" w:type="dxa"/>
        </w:tblCellMar>
      </w:tblPr>
      <w:tblGrid>
        <w:gridCol w:w="3736"/>
        <w:gridCol w:w="109"/>
        <w:gridCol w:w="211"/>
        <w:gridCol w:w="676"/>
        <w:gridCol w:w="109"/>
        <w:gridCol w:w="621"/>
        <w:gridCol w:w="294"/>
        <w:gridCol w:w="109"/>
        <w:gridCol w:w="211"/>
        <w:gridCol w:w="676"/>
        <w:gridCol w:w="109"/>
        <w:gridCol w:w="618"/>
        <w:gridCol w:w="342"/>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6" w:type="dxa"/>
            <w:gridSpan w:val="11"/>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31,419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31,053</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64.4</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56,401</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58,480</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64.0</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34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c>
          <w:tcPr>
            <w:tcW w:w="34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29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w:t>
            </w:r>
          </w:p>
        </w:tc>
        <w:tc>
          <w:tcPr>
            <w:tcW w:w="34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29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34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second quarter of 2025 decreased $3.1 million, or 3.4%, compared with the second quarter of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decreased at comparable stores by 3.5% during the second quarter of 2025 compared to the second quarter of 2024, primarily due to a decrease in traffic. </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 xml:space="preserve">Gross profit decreased $3.5 million, or 5.8%, in the second quarter of 2025 compared to the second quarter of 2024. The gross margin rate was 64.4% and 66.0% during the second quarter of 2025 and 2024, respectively. </w:t>
      </w:r>
      <w:r>
        <w:rPr>
          <w:rFonts w:ascii="Times New Roman;serif" w:hAnsi="Times New Roman;serif"/>
          <w:b w:val="false"/>
          <w:i w:val="false"/>
          <w:caps w:val="false"/>
          <w:smallCaps w:val="false"/>
          <w:color w:val="000000"/>
          <w:sz w:val="20"/>
        </w:rPr>
        <w:t>The decrease in the gross margin rate was primarily due to higher levels of discounting combined with increases in product costs.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decreased $2.1 million, or 3.6%, from $58.5 million in the second quarter of 2024 to $56.4 million in the second quarter of 2025. The decrease was primarily due to a $0.8 million decrease in asset impairment, a $0.7 million reduction in SG&amp;A associated with the closure of our New Jersey distribution center, a $0.7 million decrease in marketing costs and a $0.4 million decrease in depreciation that were partially offset by a $0.4 million write-off of display supplies.</w:t>
      </w:r>
    </w:p>
    <w:p>
      <w:pPr>
        <w:pStyle w:val="TextBody"/>
        <w:bidi w:val="0"/>
        <w:spacing w:lineRule="auto" w:line="259"/>
        <w:rPr>
          <w:rFonts w:ascii="Times New Roman;serif" w:hAnsi="Times New Roman;serif"/>
          <w:sz w:val="20"/>
        </w:rPr>
      </w:pPr>
      <w:bookmarkStart w:id="28" w:name="_Hlk203721678"/>
      <w:bookmarkStart w:id="29" w:name="_Hlk164677512"/>
      <w:bookmarkEnd w:id="28"/>
      <w:bookmarkEnd w:id="29"/>
      <w:r>
        <w:rPr>
          <w:rFonts w:ascii="Times New Roman;serif" w:hAnsi="Times New Roman;serif"/>
          <w:b/>
          <w:i/>
          <w:sz w:val="20"/>
        </w:rPr>
        <w:t>Provision for Income Taxes</w:t>
      </w:r>
      <w:r>
        <w:rPr>
          <w:rFonts w:ascii="Times New Roman;serif" w:hAnsi="Times New Roman;serif"/>
          <w:caps w:val="false"/>
          <w:smallCaps w:val="false"/>
          <w:sz w:val="20"/>
        </w:rPr>
        <w:t xml:space="preserve"> </w:t>
      </w:r>
      <w:bookmarkStart w:id="30" w:name="_Hlk140760484"/>
      <w:bookmarkEnd w:id="30"/>
      <w:r>
        <w:rPr>
          <w:rFonts w:ascii="Times New Roman;serif" w:hAnsi="Times New Roman;serif"/>
          <w:b w:val="false"/>
          <w:i w:val="false"/>
          <w:caps w:val="false"/>
          <w:smallCaps w:val="false"/>
          <w:sz w:val="20"/>
        </w:rPr>
        <w:t xml:space="preserve">The provision for income taxes for the second quarter of 2025 and 2024 was $0.1 million and $0.6 million, respectively. The decrease in the provision for income taxes was primarily due to a decrease in pretax income. Our effective tax rate </w:t>
      </w:r>
      <w:r>
        <w:rPr>
          <w:rFonts w:ascii="Times New Roman;serif" w:hAnsi="Times New Roman;serif"/>
          <w:b w:val="false"/>
          <w:i w:val="false"/>
          <w:caps w:val="false"/>
          <w:smallCaps w:val="false"/>
          <w:color w:val="000000"/>
          <w:sz w:val="20"/>
        </w:rPr>
        <w:t>was 16.4% and 32.1% in the second quarter of 2025 and 2024, respectively.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 xml:space="preserve">The decrease in the effective tax rate was largely due to a decrease in pretax income and the impact of permanent differences.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six months ended June 30, 2025 to the six months ended June 30, 2024</w:t>
      </w:r>
    </w:p>
    <w:tbl>
      <w:tblPr>
        <w:tblW w:w="8175" w:type="dxa"/>
        <w:jc w:val="left"/>
        <w:tblInd w:w="0" w:type="dxa"/>
        <w:tblLayout w:type="fixed"/>
        <w:tblCellMar>
          <w:top w:w="0" w:type="dxa"/>
          <w:left w:w="0" w:type="dxa"/>
          <w:bottom w:w="0" w:type="dxa"/>
          <w:right w:w="0" w:type="dxa"/>
        </w:tblCellMar>
      </w:tblPr>
      <w:tblGrid>
        <w:gridCol w:w="3736"/>
        <w:gridCol w:w="109"/>
        <w:gridCol w:w="211"/>
        <w:gridCol w:w="853"/>
        <w:gridCol w:w="109"/>
        <w:gridCol w:w="644"/>
        <w:gridCol w:w="271"/>
        <w:gridCol w:w="109"/>
        <w:gridCol w:w="211"/>
        <w:gridCol w:w="853"/>
        <w:gridCol w:w="109"/>
        <w:gridCol w:w="644"/>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0" w:type="dxa"/>
            <w:gridSpan w:val="11"/>
            <w:tcBorders/>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bottom w:val="single" w:sz="8" w:space="0" w:color="000000"/>
            </w:tcBorders>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373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27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16"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61,358</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w:t>
            </w:r>
          </w:p>
        </w:tc>
        <w:tc>
          <w:tcPr>
            <w:tcW w:w="271"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62,462</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w:t>
            </w:r>
          </w:p>
        </w:tc>
        <w:tc>
          <w:tcPr>
            <w:tcW w:w="316"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27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65.9</w:t>
            </w:r>
          </w:p>
        </w:tc>
        <w:tc>
          <w:tcPr>
            <w:tcW w:w="316"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114,288</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64.8</w:t>
            </w:r>
          </w:p>
        </w:tc>
        <w:tc>
          <w:tcPr>
            <w:tcW w:w="271"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116,516</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63.6</w:t>
            </w:r>
          </w:p>
        </w:tc>
        <w:tc>
          <w:tcPr>
            <w:tcW w:w="316"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27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316"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7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31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271"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316" w:type="dxa"/>
            <w:tcBorders>
              <w:top w:val="single" w:sz="8" w:space="0" w:color="000000"/>
            </w:tcBorders>
            <w:shd w:fill="CCEEFF" w:val="clear"/>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271"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(1,003)</w:t>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316" w:type="dxa"/>
            <w:tcBorders>
              <w:bottom w:val="single" w:sz="8" w:space="0" w:color="000000"/>
            </w:tcBorders>
            <w:tcMar>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3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i/>
          <w:color w:val="000000"/>
          <w:sz w:val="20"/>
        </w:rPr>
        <w:t>Net Sales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Net sales for the six months ended June 30, 2025 decreased $6.8 million, or 3.7%, compared with the six months ended June 30, 2024. Sales decreased at comparable stores by 3.8% during the six months ended June 30, 2025 when compared to the six months ended June 30, 2024, primarily due to a decrease in store traffic. </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 xml:space="preserve">Gross Profit </w:t>
      </w:r>
      <w:r>
        <w:rPr>
          <w:rFonts w:ascii="Times New Roman;serif" w:hAnsi="Times New Roman;serif"/>
          <w:b w:val="false"/>
          <w:i w:val="false"/>
          <w:caps w:val="false"/>
          <w:smallCaps w:val="false"/>
          <w:color w:val="000000"/>
          <w:sz w:val="20"/>
        </w:rPr>
        <w:t>Gross profit for the six months ended June 30, 2025 decreased $5.7 million, or 4.8%, compared with the six months ended June 30, 2024. The gross margin rate was 65.2% and 65.9% for the six months ended June 30, 2025 and 2024, respectively. The decrease in the gross margin rate was primarily due to increases in product costs and higher levels of discounting.</w:t>
      </w:r>
    </w:p>
    <w:p>
      <w:pPr>
        <w:pStyle w:val="TextBody"/>
        <w:bidi w:val="0"/>
        <w:spacing w:lineRule="auto" w:line="259"/>
        <w:rPr>
          <w:rFonts w:ascii="Times New Roman;serif" w:hAnsi="Times New Roman;serif"/>
          <w:sz w:val="20"/>
        </w:rPr>
      </w:pPr>
      <w:r>
        <w:rPr>
          <w:rFonts w:ascii="Times New Roman;serif" w:hAnsi="Times New Roman;serif"/>
          <w:b/>
          <w:i/>
          <w:color w:val="000000"/>
          <w:sz w:val="20"/>
        </w:rPr>
        <w:t>Selling, General, and Administrative Expenses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Selling, general, and administrative expenses for the six months ended June 30, 2025, decreased $2.2 million, or 1.9%, compared with the six months ended June 30, 2024. The decrease was primarily due to a $1.3 million decrease associated with the closure of our New Jersey distribution center during the third quarter of 2024, a $1.1 million decrease in depreciation and a $0.8 million decrease in asset impairment. These factors were partially offset by a $0.5 million increase in IT costs and a $0.4 million write-off of display supplies.</w:t>
      </w:r>
    </w:p>
    <w:p>
      <w:pPr>
        <w:pStyle w:val="TextBody"/>
        <w:bidi w:val="0"/>
        <w:spacing w:lineRule="auto" w:line="259"/>
        <w:rPr>
          <w:rFonts w:ascii="Times New Roman;serif" w:hAnsi="Times New Roman;serif"/>
          <w:sz w:val="24"/>
        </w:rPr>
      </w:pPr>
      <w:bookmarkStart w:id="31" w:name="_Hlk203721667"/>
      <w:bookmarkEnd w:id="31"/>
      <w:r>
        <w:rPr>
          <w:rFonts w:ascii="Times New Roman;serif" w:hAnsi="Times New Roman;serif"/>
          <w:b/>
          <w:i/>
          <w:color w:val="000000"/>
          <w:sz w:val="20"/>
        </w:rPr>
        <w:t xml:space="preserve">Provision for Income Taxes </w:t>
      </w:r>
      <w:r>
        <w:rPr>
          <w:rFonts w:ascii="Times New Roman;serif" w:hAnsi="Times New Roman;serif"/>
          <w:b w:val="false"/>
          <w:i w:val="false"/>
          <w:caps w:val="false"/>
          <w:smallCaps w:val="false"/>
          <w:color w:val="000000"/>
          <w:sz w:val="20"/>
        </w:rPr>
        <w:t>The provision for income taxes decreased $0.9 million for the six months ended June 30, 2025 compared with the six months ended June 30, 2024 due to a decrease in taxable income. Our effective tax rate for the six months ended June 30, 2025 and 2024 was 15.8% and 25.6%, respectively. The decrease in the effective tax rate during the six months ended June 30, 2025 when compared to the six months ended June 30, 2024 was largely due to a decrease in pre-tax income and the impact certain permanent differences.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and six months ended June 30, 2025 and 2024 is as follows:</w:t>
      </w:r>
    </w:p>
    <w:tbl>
      <w:tblPr>
        <w:tblW w:w="6890" w:type="dxa"/>
        <w:jc w:val="left"/>
        <w:tblInd w:w="0" w:type="dxa"/>
        <w:tblLayout w:type="fixed"/>
        <w:tblCellMar>
          <w:top w:w="0" w:type="dxa"/>
          <w:left w:w="0" w:type="dxa"/>
          <w:bottom w:w="0" w:type="dxa"/>
          <w:right w:w="0" w:type="dxa"/>
        </w:tblCellMar>
      </w:tblPr>
      <w:tblGrid>
        <w:gridCol w:w="2596"/>
        <w:gridCol w:w="109"/>
        <w:gridCol w:w="211"/>
        <w:gridCol w:w="571"/>
        <w:gridCol w:w="109"/>
        <w:gridCol w:w="629"/>
        <w:gridCol w:w="142"/>
        <w:gridCol w:w="354"/>
        <w:gridCol w:w="109"/>
        <w:gridCol w:w="211"/>
        <w:gridCol w:w="571"/>
        <w:gridCol w:w="109"/>
        <w:gridCol w:w="537"/>
        <w:gridCol w:w="162"/>
        <w:gridCol w:w="470"/>
      </w:tblGrid>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4294" w:type="dxa"/>
            <w:gridSpan w:val="14"/>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5" w:type="dxa"/>
            <w:gridSpan w:val="13"/>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5" w:type="dxa"/>
            <w:gridSpan w:val="1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4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c>
          <w:tcPr>
            <w:tcW w:w="16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1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3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0.6</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4,190</w:t>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4,602</w:t>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w:t>
            </w:r>
          </w:p>
        </w:tc>
        <w:tc>
          <w:tcPr>
            <w:tcW w:w="1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54"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7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4,937</w:t>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4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6,733</w:t>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c>
          <w:tcPr>
            <w:tcW w:w="162"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tbl>
      <w:tblPr>
        <w:tblW w:w="6575" w:type="dxa"/>
        <w:jc w:val="left"/>
        <w:tblInd w:w="0" w:type="dxa"/>
        <w:tblLayout w:type="fixed"/>
        <w:tblCellMar>
          <w:top w:w="0" w:type="dxa"/>
          <w:left w:w="0" w:type="dxa"/>
          <w:bottom w:w="0" w:type="dxa"/>
          <w:right w:w="0" w:type="dxa"/>
        </w:tblCellMar>
      </w:tblPr>
      <w:tblGrid>
        <w:gridCol w:w="2596"/>
        <w:gridCol w:w="109"/>
        <w:gridCol w:w="211"/>
        <w:gridCol w:w="571"/>
        <w:gridCol w:w="109"/>
        <w:gridCol w:w="511"/>
        <w:gridCol w:w="115"/>
        <w:gridCol w:w="288"/>
        <w:gridCol w:w="109"/>
        <w:gridCol w:w="211"/>
        <w:gridCol w:w="676"/>
        <w:gridCol w:w="109"/>
        <w:gridCol w:w="441"/>
        <w:gridCol w:w="133"/>
        <w:gridCol w:w="386"/>
      </w:tblGrid>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283"/>
              <w:jc w:val="left"/>
              <w:rPr>
                <w:sz w:val="4"/>
                <w:szCs w:val="4"/>
              </w:rPr>
            </w:pPr>
            <w:r>
              <w:rPr>
                <w:sz w:val="4"/>
                <w:szCs w:val="4"/>
              </w:rPr>
            </w:r>
          </w:p>
        </w:tc>
        <w:tc>
          <w:tcPr>
            <w:tcW w:w="3979" w:type="dxa"/>
            <w:gridSpan w:val="14"/>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0" w:type="dxa"/>
            <w:gridSpan w:val="13"/>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0" w:type="dxa"/>
            <w:gridSpan w:val="1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11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13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9,344</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9,503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1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14,150</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w:t>
            </w:r>
          </w:p>
        </w:tc>
        <w:tc>
          <w:tcPr>
            <w:tcW w:w="133"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Layout w:type="fixed"/>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2025</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2024</w:t>
            </w:r>
            <w:r>
              <w:rPr>
                <w:rFonts w:ascii="Times New Roman;serif" w:hAnsi="Times New Roman;serif"/>
                <w:b w:val="false"/>
                <w:i w:val="false"/>
                <w:caps w:val="false"/>
                <w:smallCaps w:val="false"/>
                <w:color w:val="000000"/>
                <w:position w:val="7"/>
                <w:sz w:val="16"/>
                <w:sz w:val="20"/>
              </w:rPr>
              <w:t>(1)</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8,433</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322,302</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321,899</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(24,528)</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(23,944)</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(28,475)</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(31,288)</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(141,286)</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(138,118)</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(4,651)</w:t>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(4,763)</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123,304</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123,134</w:t>
            </w:r>
          </w:p>
        </w:tc>
        <w:tc>
          <w:tcPr>
            <w:tcW w:w="316" w:type="dxa"/>
            <w:tcBorders/>
            <w:shd w:fill="CCEEFF" w:val="cle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$27.8 million of cash and cash equivalents at June 30, 2025, our cash flow from operations, and borrowings available under our Credit Agreement. </w:t>
      </w:r>
      <w:r>
        <w:rPr>
          <w:rFonts w:ascii="Times New Roman;serif" w:hAnsi="Times New Roman;serif"/>
          <w:b w:val="false"/>
          <w:i w:val="false"/>
          <w:caps w:val="false"/>
          <w:smallCaps w:val="false"/>
          <w:color w:val="000000"/>
          <w:sz w:val="20"/>
        </w:rPr>
        <w:t>We expect to use this liquidity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defined in the Credit Agreement), plus a margin ranging from 0.25% to 0.75%. The margin is determined based on the Rent Adjusted Leverage Ratio (as defined in the 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June 30,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had no borrowings outstanding on our line of credit as of June 30, 2025. </w:t>
      </w:r>
      <w:r>
        <w:rPr>
          <w:rFonts w:ascii="Times New Roman;serif" w:hAnsi="Times New Roman;serif"/>
          <w:b w:val="false"/>
          <w:i w:val="false"/>
          <w:caps w:val="false"/>
          <w:smallCaps w:val="false"/>
          <w:color w:val="000000"/>
          <w:sz w:val="20"/>
        </w:rPr>
        <w:t>We have standby letters of credit outstanding related to our workers’ compensation and medical insurance policies. As of June 30, 2025, standby letters of credit totaled $1.2 million.  As of June 30, 2025, there was $73.8 million available for borrowing on the revolving line of credit, which may be used for maintaining our existing stores, purchasing additional merchandise inventory,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$6.5 million and $6.3 million for the six months ended June 30, 2025 and 2024, respectively. Capital expenditures in 2025 were primarily due to investments in store remodels, merchandising, distribution and information technology assets.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six months ended June 30, 2025 and 2024.</w:t>
      </w:r>
    </w:p>
    <w:tbl>
      <w:tblPr>
        <w:tblW w:w="5533" w:type="dxa"/>
        <w:jc w:val="left"/>
        <w:tblInd w:w="0" w:type="dxa"/>
        <w:tblLayout w:type="fixed"/>
        <w:tblCellMar>
          <w:top w:w="0" w:type="dxa"/>
          <w:left w:w="0" w:type="dxa"/>
          <w:bottom w:w="0" w:type="dxa"/>
          <w:right w:w="0" w:type="dxa"/>
        </w:tblCellMar>
      </w:tblPr>
      <w:tblGrid>
        <w:gridCol w:w="3466"/>
        <w:gridCol w:w="109"/>
        <w:gridCol w:w="211"/>
        <w:gridCol w:w="691"/>
        <w:gridCol w:w="109"/>
        <w:gridCol w:w="211"/>
        <w:gridCol w:w="736"/>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Six Months Ended</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30,</w:t>
            </w:r>
          </w:p>
        </w:tc>
      </w:tr>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23,452</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(6,257)</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(463)</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 during the six months ended June 30, 2025 was $13.5 million compared with $23.5 million during the six months ended June 30, 2024. The decrease was primarily attributable to a decrease in net income and other working capital changes.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$6.4 million for the six months ended June 30,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$6.3 million for the six months ended June 30, 2024. Cash used in investing activities during the six months ended June 30, 2025 was primarily due to investments in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used in financing activities was $0.3 million for the six months ended June 30, 2025 compared with $0.5 million for the six months ended June 30, 2024. The decrease in cash outflows for financing activities from the six months ended June 30, 2024 to six months ended June 30, 2025 relates to the impact of employee shares withheld for employee stock award vestings.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totaled $27.8 million at June 30, 2025 compared with $21.0 million at December 31, 2024. Working capital was $43.5 million at June 30, 2025 compared with $41.4 million at December 31,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2" w:name="MarketRisk"/>
      <w:bookmarkEnd w:id="32"/>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2024.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33" w:name="Item4"/>
      <w:bookmarkEnd w:id="33"/>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June 30, 2025 and concluded that our disclosure controls and procedures were effective as of the end of the period covered by this Quarterly Report on Form 10-Q. </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were no changes in internal control over financial reporting (as defined by Rule 13a-15(f) under the Exchange Act) during the quarter ended June 30, 2025 that have materially affected, or are reasonably likely to materially affect, our internal control over financial reporting.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34" w:name="PartII"/>
      <w:bookmarkEnd w:id="34"/>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5" w:name="LegalProceedings"/>
      <w:bookmarkEnd w:id="35"/>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6" w:name="RiskFactors"/>
      <w:bookmarkEnd w:id="36"/>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2024, other than with respect to the risk factor discussed below.</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We are vulnerable to changes in political and economic conditions, including the effects of tariffs and international trade wars.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United States government has implemented significant tariffs measures, including a baseline tariff on products from all countries and higher rates targeting specific countries such as China, Vietnam, Mexico, Canada and the European Union. The United States, or foreign governments may, in the future, adjust and/or impose new quotas, duties, tariffs or reciprocal tariffs or other restrictions which may affect our operations and our ability to purchase imported merchandise at reasonable prices. These potential changes to the trade landscape may require price increases to maintain our target margins, or may cause shortages of certain products, either of which could adversely affect our sales and profitability. The ultimate impact of any tariffs or other trade measures will depend on various factors, including how long such tariffs remain in place, the ultimate levels of such tariffs and how other countries respond to the United States tariffs. We have historically, and intend to continue, to shift our sourcing strategy away from countries with higher tariffs in favor of suppliers in countries with more advantageous tariff rates; however, our ability to successfully execute this strategy depends on a variety of factors, including our ability to identify suppliers who can produce products that meet our quality standards or our ability to mitigate any logistical challenges, and the cost of moving production to the identified countries. If we are unable to mitigate tariff-related risks through supply chain adjustments, pricing strategies, or other measures, our financial performance could be negatively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7" w:name="UnregisteredSales"/>
      <w:bookmarkEnd w:id="37"/>
      <w:r>
        <w:rPr>
          <w:rFonts w:ascii="Times New Roman;serif" w:hAnsi="Times New Roman;serif"/>
          <w:b/>
          <w:i w:val="false"/>
          <w:caps w:val="false"/>
          <w:smallCaps w:val="false"/>
          <w:sz w:val="20"/>
        </w:rPr>
        <w:t>M 2. UNREGISTERED SALES OF EQUITY SECURITIES AND USE OF PROCEEDS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Issuer Purchases of Equity Securities </w:t>
      </w:r>
    </w:p>
    <w:tbl>
      <w:tblPr>
        <w:tblW w:w="10205" w:type="dxa"/>
        <w:jc w:val="left"/>
        <w:tblInd w:w="0" w:type="dxa"/>
        <w:tblLayout w:type="fixed"/>
        <w:tblCellMar>
          <w:top w:w="0" w:type="dxa"/>
          <w:left w:w="0" w:type="dxa"/>
          <w:bottom w:w="0" w:type="dxa"/>
          <w:right w:w="0" w:type="dxa"/>
        </w:tblCellMar>
      </w:tblPr>
      <w:tblGrid>
        <w:gridCol w:w="1175"/>
        <w:gridCol w:w="109"/>
        <w:gridCol w:w="1477"/>
        <w:gridCol w:w="272"/>
        <w:gridCol w:w="386"/>
        <w:gridCol w:w="856"/>
        <w:gridCol w:w="109"/>
        <w:gridCol w:w="2681"/>
        <w:gridCol w:w="109"/>
        <w:gridCol w:w="1513"/>
        <w:gridCol w:w="1518"/>
      </w:tblGrid>
      <w:tr>
        <w:trPr/>
        <w:tc>
          <w:tcPr>
            <w:tcW w:w="1175" w:type="dxa"/>
            <w:tcBorders/>
            <w:vAlign w:val="center"/>
          </w:tcPr>
          <w:p>
            <w:pPr>
              <w:pStyle w:val="TableContents"/>
              <w:bidi w:val="0"/>
              <w:spacing w:before="0" w:after="283"/>
              <w:jc w:val="left"/>
              <w:rPr>
                <w:sz w:val="4"/>
                <w:szCs w:val="4"/>
              </w:rPr>
            </w:pPr>
            <w:r>
              <w:rPr>
                <w:sz w:val="4"/>
                <w:szCs w:val="4"/>
              </w:rPr>
            </w:r>
            <w:bookmarkStart w:id="38" w:name="_Hlk164434296"/>
            <w:bookmarkStart w:id="39" w:name="_Hlk164434296"/>
            <w:bookmarkEnd w:id="39"/>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2" w:type="dxa"/>
            <w:tcBorders/>
            <w:vAlign w:val="center"/>
          </w:tcPr>
          <w:p>
            <w:pPr>
              <w:pStyle w:val="TableContents"/>
              <w:bidi w:val="0"/>
              <w:spacing w:before="0" w:after="283"/>
              <w:jc w:val="left"/>
              <w:rPr>
                <w:sz w:val="4"/>
                <w:szCs w:val="4"/>
              </w:rPr>
            </w:pPr>
            <w:r>
              <w:rPr>
                <w:sz w:val="4"/>
                <w:szCs w:val="4"/>
              </w:rPr>
            </w:r>
          </w:p>
        </w:tc>
        <w:tc>
          <w:tcPr>
            <w:tcW w:w="12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br/>
              <w:t>‎Approximate Dollar Value of Shares That May Yet be Purchased Under the Plans or Programs</w:t>
            </w:r>
          </w:p>
        </w:tc>
      </w:tr>
      <w:tr>
        <w:trPr/>
        <w:tc>
          <w:tcPr>
            <w:tcW w:w="11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April 1, 2025 - April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May 1, 2025 - May 31, 2025</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9,692</w:t>
            </w:r>
          </w:p>
        </w:tc>
        <w:tc>
          <w:tcPr>
            <w:tcW w:w="27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June 1, 2025 -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7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29,598</w:t>
            </w:r>
          </w:p>
        </w:tc>
        <w:tc>
          <w:tcPr>
            <w:tcW w:w="2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(2)</w:t>
            </w:r>
          </w:p>
        </w:tc>
        <w:tc>
          <w:tcPr>
            <w:tcW w:w="3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1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175" w:type="dxa"/>
            <w:tcBorders/>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39,290</w:t>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0.43</w:t>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bookmarkStart w:id="40" w:name="_Hlk203462260"/>
      <w:bookmarkEnd w:id="40"/>
      <w:r>
        <w:rPr>
          <w:rFonts w:ascii="Times New Roman;serif" w:hAnsi="Times New Roman;serif"/>
          <w:b w:val="false"/>
          <w:i w:val="false"/>
          <w:caps w:val="false"/>
          <w:smallCaps w:val="false"/>
          <w:sz w:val="20"/>
        </w:rPr>
        <w:t xml:space="preserve">(1) We withheld a total of 1,560 shares to satisfy tax withholding obligations due upon the vesting of restricted stock grants, as allowed by the 2021 Omnibus Equity Compensation Plan. Additionally, 8,132 shares were forfeited when vesting conditions were not met, in accordance with the terms of the 2021 Omnibus Equity Compensation Plan and the related award agreements. We did not pay cash to repurchase these shares, nor were these repurchases part of a publicly announced plan or program.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We withheld a total of 1,184 shares to satisfy tax withholding obligations due upon the vesting of restricted stock grants, as allowed by the 2021 Omnibus Equity Compensation Plan. Additionally, 28,414 shares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1" w:name="DefaultUponSeniorSecurities"/>
      <w:bookmarkEnd w:id="41"/>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2" w:name="MineSafetyDisclosures"/>
      <w:bookmarkEnd w:id="42"/>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43" w:name="OtherInformation"/>
      <w:bookmarkEnd w:id="43"/>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 xml:space="preserve">Rule 10b5-1 Trading Plans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ended June 30, 2025, none of the Company’s directors or executive officers adopted, modified 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contract, instruction or written plan for the purchase or sale of Company securities that was intended to satisfy the affirmative defense conditions of Rule 10b5-1(c)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Exchange Act or any “non-Rule 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(as defined in Item 408(c) of Regulation S-K).</w:t>
      </w:r>
      <w:r>
        <w:rPr>
          <w:rFonts w:ascii="Times New Roman;serif" w:hAnsi="Times New Roman;serif"/>
          <w:b/>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4" w:name="Exhibits"/>
      <w:bookmarkEnd w:id="44"/>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7"/>
        <w:gridCol w:w="9398"/>
      </w:tblGrid>
      <w:tr>
        <w:trPr/>
        <w:tc>
          <w:tcPr>
            <w:tcW w:w="807" w:type="dxa"/>
            <w:tcBorders/>
            <w:vAlign w:val="center"/>
          </w:tcPr>
          <w:p>
            <w:pPr>
              <w:pStyle w:val="TableContents"/>
              <w:bidi w:val="0"/>
              <w:spacing w:before="0" w:after="283"/>
              <w:jc w:val="left"/>
              <w:rPr>
                <w:sz w:val="4"/>
                <w:szCs w:val="4"/>
              </w:rPr>
            </w:pPr>
            <w:r>
              <w:rPr>
                <w:sz w:val="4"/>
                <w:szCs w:val="4"/>
              </w:rPr>
            </w:r>
          </w:p>
        </w:tc>
        <w:tc>
          <w:tcPr>
            <w:tcW w:w="9398"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3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7"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398"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7"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398"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7"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398"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7" w:type="dxa"/>
            <w:tcBorders/>
            <w:vAlign w:val="center"/>
          </w:tcPr>
          <w:p>
            <w:pPr>
              <w:pStyle w:val="TableContents"/>
              <w:bidi w:val="0"/>
              <w:spacing w:lineRule="auto" w:line="259" w:before="0" w:after="283"/>
              <w:jc w:val="left"/>
              <w:rPr/>
            </w:pPr>
            <w:hyperlink w:anchor="ttsh-20250630xex31_1.htm">
              <w:r>
                <w:rPr>
                  <w:rStyle w:val="InternetLink"/>
                  <w:rFonts w:ascii="Times New Roman;serif" w:hAnsi="Times New Roman;serif"/>
                  <w:b w:val="false"/>
                  <w:i w:val="false"/>
                  <w:caps w:val="false"/>
                  <w:smallCaps w:val="false"/>
                  <w:color w:val="0563C1"/>
                  <w:sz w:val="20"/>
                  <w:u w:val="single"/>
                </w:rPr>
                <w:t>31.1*</w:t>
              </w:r>
            </w:hyperlink>
          </w:p>
        </w:tc>
        <w:tc>
          <w:tcPr>
            <w:tcW w:w="9398" w:type="dxa"/>
            <w:tcBorders/>
            <w:vAlign w:val="center"/>
          </w:tcPr>
          <w:p>
            <w:pPr>
              <w:pStyle w:val="TableContents"/>
              <w:bidi w:val="0"/>
              <w:spacing w:lineRule="auto" w:line="259" w:before="0" w:after="283"/>
              <w:jc w:val="left"/>
              <w:rPr/>
            </w:pPr>
            <w:hyperlink w:anchor="ttsh-20250630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7" w:type="dxa"/>
            <w:tcBorders/>
            <w:shd w:fill="CCEEFF" w:val="clear"/>
            <w:vAlign w:val="center"/>
          </w:tcPr>
          <w:p>
            <w:pPr>
              <w:pStyle w:val="TableContents"/>
              <w:bidi w:val="0"/>
              <w:spacing w:lineRule="auto" w:line="259" w:before="0" w:after="283"/>
              <w:jc w:val="left"/>
              <w:rPr/>
            </w:pPr>
            <w:hyperlink w:anchor="ttsh-20250630xex31_2.htm">
              <w:r>
                <w:rPr>
                  <w:rStyle w:val="InternetLink"/>
                  <w:rFonts w:ascii="Times New Roman;serif" w:hAnsi="Times New Roman;serif"/>
                  <w:b w:val="false"/>
                  <w:i w:val="false"/>
                  <w:caps w:val="false"/>
                  <w:smallCaps w:val="false"/>
                  <w:color w:val="0563C1"/>
                  <w:sz w:val="20"/>
                  <w:u w:val="single"/>
                </w:rPr>
                <w:t>31.2*</w:t>
              </w:r>
            </w:hyperlink>
          </w:p>
        </w:tc>
        <w:tc>
          <w:tcPr>
            <w:tcW w:w="9398" w:type="dxa"/>
            <w:tcBorders/>
            <w:shd w:fill="CCEEFF" w:val="clear"/>
            <w:vAlign w:val="center"/>
          </w:tcPr>
          <w:p>
            <w:pPr>
              <w:pStyle w:val="TableContents"/>
              <w:bidi w:val="0"/>
              <w:spacing w:lineRule="auto" w:line="259" w:before="0" w:after="283"/>
              <w:jc w:val="left"/>
              <w:rPr/>
            </w:pPr>
            <w:hyperlink w:anchor="ttsh-20250630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7" w:type="dxa"/>
            <w:tcBorders/>
            <w:vAlign w:val="center"/>
          </w:tcPr>
          <w:p>
            <w:pPr>
              <w:pStyle w:val="TableContents"/>
              <w:bidi w:val="0"/>
              <w:spacing w:lineRule="auto" w:line="259" w:before="0" w:after="283"/>
              <w:jc w:val="left"/>
              <w:rPr/>
            </w:pPr>
            <w:hyperlink w:anchor="ttsh-20250630xex32_1.htm">
              <w:r>
                <w:rPr>
                  <w:rStyle w:val="InternetLink"/>
                  <w:rFonts w:ascii="Times New Roman;serif" w:hAnsi="Times New Roman;serif"/>
                  <w:b w:val="false"/>
                  <w:i w:val="false"/>
                  <w:caps w:val="false"/>
                  <w:smallCaps w:val="false"/>
                  <w:color w:val="0563C1"/>
                  <w:sz w:val="20"/>
                  <w:u w:val="single"/>
                </w:rPr>
                <w:t>32.1**</w:t>
              </w:r>
            </w:hyperlink>
          </w:p>
        </w:tc>
        <w:tc>
          <w:tcPr>
            <w:tcW w:w="9398" w:type="dxa"/>
            <w:tcBorders/>
            <w:vAlign w:val="center"/>
          </w:tcPr>
          <w:p>
            <w:pPr>
              <w:pStyle w:val="TableContents"/>
              <w:bidi w:val="0"/>
              <w:spacing w:lineRule="auto" w:line="259" w:before="0" w:after="283"/>
              <w:jc w:val="left"/>
              <w:rPr/>
            </w:pPr>
            <w:hyperlink w:anchor="ttsh-20250630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7" w:type="dxa"/>
            <w:tcBorders/>
            <w:shd w:fill="CCEEFF" w:val="clear"/>
            <w:vAlign w:val="center"/>
          </w:tcPr>
          <w:p>
            <w:pPr>
              <w:pStyle w:val="TableContents"/>
              <w:bidi w:val="0"/>
              <w:spacing w:lineRule="auto" w:line="259" w:before="0" w:after="283"/>
              <w:jc w:val="left"/>
              <w:rPr/>
            </w:pPr>
            <w:hyperlink w:anchor="ttsh-20250630xex32_2.htm">
              <w:r>
                <w:rPr>
                  <w:rStyle w:val="InternetLink"/>
                  <w:rFonts w:ascii="Times New Roman;serif" w:hAnsi="Times New Roman;serif"/>
                  <w:b w:val="false"/>
                  <w:i w:val="false"/>
                  <w:caps w:val="false"/>
                  <w:smallCaps w:val="false"/>
                  <w:color w:val="0563C1"/>
                  <w:sz w:val="20"/>
                  <w:u w:val="single"/>
                </w:rPr>
                <w:t>32.2**</w:t>
              </w:r>
            </w:hyperlink>
          </w:p>
        </w:tc>
        <w:tc>
          <w:tcPr>
            <w:tcW w:w="9398" w:type="dxa"/>
            <w:tcBorders/>
            <w:shd w:fill="CCEEFF" w:val="clear"/>
            <w:vAlign w:val="center"/>
          </w:tcPr>
          <w:p>
            <w:pPr>
              <w:pStyle w:val="TableContents"/>
              <w:bidi w:val="0"/>
              <w:spacing w:lineRule="auto" w:line="259" w:before="0" w:after="283"/>
              <w:jc w:val="left"/>
              <w:rPr/>
            </w:pPr>
            <w:hyperlink w:anchor="ttsh-20250630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39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June 30, 2025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w:t>
            </w:r>
          </w:p>
        </w:tc>
      </w:tr>
      <w:tr>
        <w:trPr/>
        <w:tc>
          <w:tcPr>
            <w:tcW w:w="80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3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45" w:name="Signatures"/>
      <w:bookmarkEnd w:id="45"/>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1951"/>
        <w:gridCol w:w="451"/>
        <w:gridCol w:w="24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August 7, 2025</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559" w:type="dxa"/>
        <w:jc w:val="left"/>
        <w:tblInd w:w="0" w:type="dxa"/>
        <w:tblLayout w:type="fixed"/>
        <w:tblCellMar>
          <w:top w:w="0" w:type="dxa"/>
          <w:left w:w="0" w:type="dxa"/>
          <w:bottom w:w="0" w:type="dxa"/>
          <w:right w:w="0" w:type="dxa"/>
        </w:tblCellMar>
      </w:tblPr>
      <w:tblGrid>
        <w:gridCol w:w="1951"/>
        <w:gridCol w:w="451"/>
        <w:gridCol w:w="196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August 7, 2025</w:t>
            </w:r>
          </w:p>
        </w:tc>
        <w:tc>
          <w:tcPr>
            <w:tcW w:w="4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B. Davis</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9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uto" w:line="240" w:before="0" w:after="0"/>
        <w:ind w:left="1440" w:right="1440" w:hanging="0"/>
        <w:jc w:val="right"/>
        <w:rPr>
          <w:rFonts w:ascii="Times New Roman" w:hAnsi="Times New Roman"/>
          <w:sz w:val="20"/>
        </w:rPr>
      </w:pPr>
      <w:bookmarkStart w:id="46" w:name="ttsh-20250630xex31_1.htm"/>
      <w:bookmarkStart w:id="47" w:name="ksttsh20250630xex31_1"/>
      <w:bookmarkEnd w:id="46"/>
      <w:bookmarkEnd w:id="47"/>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Cabell H. Lolmaugh,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4165" w:type="dxa"/>
        <w:jc w:val="left"/>
        <w:tblInd w:w="1440" w:type="dxa"/>
        <w:tblLayout w:type="fixed"/>
        <w:tblCellMar>
          <w:top w:w="0" w:type="dxa"/>
          <w:left w:w="0" w:type="dxa"/>
          <w:bottom w:w="0" w:type="dxa"/>
          <w:right w:w="0" w:type="dxa"/>
        </w:tblCellMar>
      </w:tblPr>
      <w:tblGrid>
        <w:gridCol w:w="1760"/>
        <w:gridCol w:w="2405"/>
      </w:tblGrid>
      <w:tr>
        <w:trPr/>
        <w:tc>
          <w:tcPr>
            <w:tcW w:w="176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August 7, 2025</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CABELL H. LOLMAUGH</w:t>
            </w:r>
          </w:p>
        </w:tc>
      </w:tr>
      <w:tr>
        <w:trPr/>
        <w:tc>
          <w:tcPr>
            <w:tcW w:w="1760" w:type="dxa"/>
            <w:tcBorders/>
          </w:tcPr>
          <w:p>
            <w:pPr>
              <w:pStyle w:val="TableContents"/>
              <w:bidi w:val="0"/>
              <w:spacing w:lineRule="auto" w:line="240" w:before="0" w:after="0"/>
              <w:ind w:left="0" w:right="0" w:hanging="0"/>
              <w:jc w:val="left"/>
              <w:rPr/>
            </w:pPr>
            <w:r>
              <w:rPr/>
              <w:t> </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Cabell H. Lolmaugh</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240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48" w:name="ttsh-20250630xex31_2.htm"/>
      <w:bookmarkStart w:id="49" w:name="ksttsh20250630xex31_2"/>
      <w:bookmarkEnd w:id="48"/>
      <w:bookmarkEnd w:id="49"/>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ascii="Times New Roman" w:hAnsi="Times New Roman"/>
          <w:sz w:val="20"/>
        </w:rPr>
      </w:pPr>
      <w:r>
        <w:rPr>
          <w:rFonts w:ascii="Times New Roman" w:hAnsi="Times New Roman"/>
          <w:sz w:val="20"/>
        </w:rPr>
        <w:t xml:space="preserve">I, Mark B. Davis, certify that: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6701" w:type="dxa"/>
        <w:jc w:val="left"/>
        <w:tblInd w:w="1440" w:type="dxa"/>
        <w:tblLayout w:type="fixed"/>
        <w:tblCellMar>
          <w:top w:w="0" w:type="dxa"/>
          <w:left w:w="0" w:type="dxa"/>
          <w:bottom w:w="0" w:type="dxa"/>
          <w:right w:w="0" w:type="dxa"/>
        </w:tblCellMar>
      </w:tblPr>
      <w:tblGrid>
        <w:gridCol w:w="38"/>
        <w:gridCol w:w="215"/>
        <w:gridCol w:w="23"/>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42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1"/>
        <w:gridCol w:w="23"/>
        <w:gridCol w:w="7113"/>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1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6"/>
        <w:gridCol w:w="23"/>
        <w:gridCol w:w="7118"/>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8"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7"/>
        <w:gridCol w:w="23"/>
        <w:gridCol w:w="7097"/>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97"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pPr>
      <w:r>
        <w:rPr>
          <w:color w:val="000000"/>
        </w:rPr>
        <w:t> </w:t>
      </w:r>
      <w:r>
        <w:rPr/>
        <w:t xml:space="preserve"> </w:t>
      </w:r>
    </w:p>
    <w:tbl>
      <w:tblPr>
        <w:tblW w:w="7325" w:type="dxa"/>
        <w:jc w:val="left"/>
        <w:tblInd w:w="1440" w:type="dxa"/>
        <w:tblLayout w:type="fixed"/>
        <w:tblCellMar>
          <w:top w:w="0" w:type="dxa"/>
          <w:left w:w="0" w:type="dxa"/>
          <w:bottom w:w="0" w:type="dxa"/>
          <w:right w:w="0" w:type="dxa"/>
        </w:tblCellMar>
      </w:tblPr>
      <w:tblGrid>
        <w:gridCol w:w="38"/>
        <w:gridCol w:w="191"/>
        <w:gridCol w:w="23"/>
        <w:gridCol w:w="7073"/>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73"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tbl>
      <w:tblPr>
        <w:tblW w:w="3715" w:type="dxa"/>
        <w:jc w:val="left"/>
        <w:tblInd w:w="1440" w:type="dxa"/>
        <w:tblLayout w:type="fixed"/>
        <w:tblCellMar>
          <w:top w:w="0" w:type="dxa"/>
          <w:left w:w="0" w:type="dxa"/>
          <w:bottom w:w="0" w:type="dxa"/>
          <w:right w:w="0" w:type="dxa"/>
        </w:tblCellMar>
      </w:tblPr>
      <w:tblGrid>
        <w:gridCol w:w="1760"/>
        <w:gridCol w:w="1955"/>
      </w:tblGrid>
      <w:tr>
        <w:trPr/>
        <w:tc>
          <w:tcPr>
            <w:tcW w:w="1760" w:type="dxa"/>
            <w:tcBorders/>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Date: August 7, 2025</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MARK B. DAVIS</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color w:val="000000"/>
                <w:szCs w:val="20"/>
              </w:rPr>
            </w:pPr>
            <w:r>
              <w:rPr>
                <w:rFonts w:cs="Times New Roman"/>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Mark B. Davis</w:t>
            </w:r>
          </w:p>
        </w:tc>
      </w:tr>
      <w:tr>
        <w:trPr/>
        <w:tc>
          <w:tcPr>
            <w:tcW w:w="1760" w:type="dxa"/>
            <w:tcBorders/>
          </w:tcPr>
          <w:p>
            <w:pPr>
              <w:pStyle w:val="TableContents"/>
              <w:bidi w:val="0"/>
              <w:spacing w:lineRule="auto" w:line="240" w:before="0" w:after="0"/>
              <w:ind w:left="0" w:right="0" w:hanging="0"/>
              <w:jc w:val="left"/>
              <w:rPr>
                <w:rFonts w:cs="Times New Roman"/>
                <w:iCs/>
                <w:color w:val="000000"/>
                <w:szCs w:val="20"/>
              </w:rPr>
            </w:pPr>
            <w:r>
              <w:rPr>
                <w:rFonts w:cs="Times New Roman"/>
                <w:iCs/>
                <w:color w:val="000000"/>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50" w:name="ttsh-20250630xex32_1.htm"/>
      <w:bookmarkStart w:id="51" w:name="ksttsh20250630xex32_1"/>
      <w:bookmarkEnd w:id="50"/>
      <w:bookmarkEnd w:id="51"/>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June 30,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4165" w:type="dxa"/>
        <w:jc w:val="left"/>
        <w:tblInd w:w="1440" w:type="dxa"/>
        <w:tblLayout w:type="fixed"/>
        <w:tblCellMar>
          <w:top w:w="0" w:type="dxa"/>
          <w:left w:w="0" w:type="dxa"/>
          <w:bottom w:w="0" w:type="dxa"/>
          <w:right w:w="0" w:type="dxa"/>
        </w:tblCellMar>
      </w:tblPr>
      <w:tblGrid>
        <w:gridCol w:w="1760"/>
        <w:gridCol w:w="2405"/>
      </w:tblGrid>
      <w:tr>
        <w:trPr/>
        <w:tc>
          <w:tcPr>
            <w:tcW w:w="176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40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August 7, 2025</w:t>
            </w:r>
          </w:p>
        </w:tc>
        <w:tc>
          <w:tcPr>
            <w:tcW w:w="240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CABELL H. LOLMAUGH</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Cabell H. Lolmaugh</w:t>
            </w:r>
          </w:p>
        </w:tc>
      </w:tr>
      <w:tr>
        <w:trPr/>
        <w:tc>
          <w:tcPr>
            <w:tcW w:w="176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240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0"/>
        </w:rPr>
      </w:pPr>
      <w:bookmarkStart w:id="52" w:name="ttsh-20250630xex32_2.htm"/>
      <w:bookmarkStart w:id="53" w:name="ksttsh20250630xex32_2"/>
      <w:bookmarkEnd w:id="52"/>
      <w:bookmarkEnd w:id="53"/>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Pursuant to 18 U.S.C. §1350 (as adopted pursuant to §906 of the Sarbanes-Oxley Act of 2002), I, Mark B. Davis, the Chief Financial Officer of Tile Shop Holdings, Inc. (the “Company”), hereby certify that the Quarterly Report on Form 10-Q of the Company for the period ended June 30, 2025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firstLine="72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tbl>
      <w:tblPr>
        <w:tblW w:w="3715" w:type="dxa"/>
        <w:jc w:val="left"/>
        <w:tblInd w:w="1440" w:type="dxa"/>
        <w:tblLayout w:type="fixed"/>
        <w:tblCellMar>
          <w:top w:w="0" w:type="dxa"/>
          <w:left w:w="0" w:type="dxa"/>
          <w:bottom w:w="0" w:type="dxa"/>
          <w:right w:w="0" w:type="dxa"/>
        </w:tblCellMar>
      </w:tblPr>
      <w:tblGrid>
        <w:gridCol w:w="1760"/>
        <w:gridCol w:w="1955"/>
      </w:tblGrid>
      <w:tr>
        <w:trPr/>
        <w:tc>
          <w:tcPr>
            <w:tcW w:w="1760"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955" w:type="dxa"/>
            <w:tcBorders/>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Date: August 7, 2025</w:t>
            </w:r>
          </w:p>
        </w:tc>
        <w:tc>
          <w:tcPr>
            <w:tcW w:w="1955" w:type="dxa"/>
            <w:tcBorders>
              <w:bottom w:val="single" w:sz="8" w:space="0" w:color="000000"/>
            </w:tcBorders>
            <w:tcMar>
              <w:bottom w:w="28" w:type="dxa"/>
            </w:tcMa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 MARK B. DAVIS</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op w:val="single" w:sz="8" w:space="0" w:color="000000"/>
            </w:tcBorders>
            <w:tcMar>
              <w:top w:w="28" w:type="dxa"/>
            </w:tcMar>
          </w:tcPr>
          <w:p>
            <w:pPr>
              <w:pStyle w:val="TableContents"/>
              <w:bidi w:val="0"/>
              <w:spacing w:lineRule="auto" w:line="240" w:before="0" w:after="0"/>
              <w:ind w:left="0" w:right="0" w:hanging="0"/>
              <w:jc w:val="left"/>
              <w:rPr/>
            </w:pPr>
            <w:r>
              <w:rPr/>
              <w:t> </w:t>
            </w:r>
          </w:p>
        </w:tc>
      </w:tr>
      <w:tr>
        <w:trPr/>
        <w:tc>
          <w:tcPr>
            <w:tcW w:w="1760" w:type="dxa"/>
            <w:tcBorders/>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1955"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Mark B. Davis</w:t>
            </w:r>
          </w:p>
        </w:tc>
      </w:tr>
      <w:tr>
        <w:trPr/>
        <w:tc>
          <w:tcPr>
            <w:tcW w:w="1760" w:type="dxa"/>
            <w:tcBorders/>
          </w:tcPr>
          <w:p>
            <w:pPr>
              <w:pStyle w:val="TableContents"/>
              <w:bidi w:val="0"/>
              <w:spacing w:lineRule="auto" w:line="240" w:before="0" w:after="0"/>
              <w:ind w:left="0" w:right="0" w:hanging="0"/>
              <w:jc w:val="left"/>
              <w:rPr>
                <w:rFonts w:cs="Times New Roman"/>
                <w:iCs/>
                <w:szCs w:val="20"/>
              </w:rPr>
            </w:pPr>
            <w:r>
              <w:rPr>
                <w:rFonts w:cs="Times New Roman"/>
                <w:iCs/>
                <w:szCs w:val="20"/>
              </w:rPr>
              <w:t>﻿</w:t>
            </w:r>
          </w:p>
        </w:tc>
        <w:tc>
          <w:tcPr>
            <w:tcW w:w="1955" w:type="dxa"/>
            <w:tcBorders/>
          </w:tcPr>
          <w:p>
            <w:pPr>
              <w:pStyle w:val="TableContents"/>
              <w:bidi w:val="0"/>
              <w:spacing w:lineRule="auto" w:line="240" w:before="0" w:after="0"/>
              <w:ind w:left="0" w:right="0" w:hanging="0"/>
              <w:jc w:val="left"/>
              <w:rPr>
                <w:rFonts w:ascii="Times New Roman" w:hAnsi="Times New Roman"/>
                <w:i/>
                <w:sz w:val="20"/>
              </w:rPr>
            </w:pPr>
            <w:r>
              <w:rPr>
                <w:rFonts w:ascii="Times New Roman" w:hAnsi="Times New Roman"/>
                <w:i/>
                <w:sz w:val="20"/>
              </w:rPr>
              <w:t>Chief Financial Officer</w:t>
            </w:r>
          </w:p>
        </w:tc>
      </w:tr>
    </w:tbl>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Cambria Math">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13391</Words>
  <Characters>72087</Characters>
  <CharactersWithSpaces>83902</CharactersWithSpaces>
  <Paragraphs>1863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