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95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95376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785"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Lolmaugh Cabell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C/O TILE SHOP HOLDINGS, INC.</w:t>
            </w:r>
          </w:p>
        </w:tc>
        <w:tc>
          <w:tcPr>
            <w:tcW w:w="120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14000 CARLSON PARKWAY</w:t>
            </w:r>
          </w:p>
        </w:tc>
        <w:tc>
          <w:tcPr>
            <w:tcW w:w="120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MN</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55441</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TILE SHOP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TTSH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8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4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03/02/2026</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2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78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197,814</w:t>
            </w:r>
            <w:r>
              <w:rPr>
                <w:rFonts w:ascii="Times New Roman" w:cs="Times New Roman" w:eastAsia="Times New Roman" w:hAnsi="Times New Roman"/>
                <w:sz w:val="21"/>
                <w:szCs w:val="21"/>
                <w:color w:val="008000"/>
                <w:vertAlign w:val="superscript"/>
              </w:rPr>
              <w:t>(1)(2)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03/02/2026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28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1"/>
              <w:spacing w:after="0"/>
              <w:rPr>
                <w:sz w:val="20"/>
                <w:szCs w:val="20"/>
                <w:color w:val="auto"/>
              </w:rPr>
            </w:pPr>
            <w:r>
              <w:rPr>
                <w:rFonts w:ascii="Times New Roman" w:cs="Times New Roman" w:eastAsia="Times New Roman" w:hAnsi="Times New Roman"/>
                <w:sz w:val="17"/>
                <w:szCs w:val="17"/>
                <w:color w:val="0000FF"/>
                <w:w w:val="97"/>
              </w:rPr>
              <w:t>120,000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120,000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8.5</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11/06/2027</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26,900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26,900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5.55</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02/22/2028</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56,000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56,000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6.26</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02/20/2029</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97,067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97,067</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6,173 shares of restricted stock for which the risks of forfeiture will lapse on 3/6/26; (ii) 10,083 shares of restricted stock for which the risks of forfeiture will lapse in equal annual installments on each of 3/4/26 and 3/4/27; (iii) 13,542 shares of restricted stock for which the risks of forfeiture will lapse in equal annual installments on each of 3/3/26, 3/3/27 and 3/3/28; and</w:t>
      </w:r>
    </w:p>
    <w:p>
      <w:pPr>
        <w:spacing w:after="0" w:line="19" w:lineRule="exact"/>
        <w:rPr>
          <w:rFonts w:ascii="Times New Roman" w:cs="Times New Roman" w:eastAsia="Times New Roman" w:hAnsi="Times New Roman"/>
          <w:sz w:val="13"/>
          <w:szCs w:val="13"/>
          <w:color w:val="008000"/>
        </w:rPr>
      </w:pPr>
    </w:p>
    <w:p>
      <w:pPr>
        <w:ind w:left="40" w:right="180"/>
        <w:spacing w:after="0" w:line="25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(iv) the following shares of performance-based restricted stock, which are, in each case, subject to Mr. Lolmaugh remaining in continuous employment with the Issuer through December 31 of the year preceding the applicable vesting date and the Issuer achieving its performance target for each respective year: (A) 12,099 shares for which the risks of forfeiture will lapse on the date the Issuer releases its annual financial statements for the 2026 fiscal year; and (B) 10,833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p>
      <w:pPr>
        <w:spacing w:after="0" w:line="14"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three substantially equal installments on each of 3/2/2027, 3/2/2028 and 3/2/2029, subject to continuous employment as of the applicable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Mark B. Davis, as Attorney-  </w:t>
      </w:r>
      <w:r>
        <w:rPr>
          <w:rFonts w:ascii="Times New Roman" w:cs="Times New Roman" w:eastAsia="Times New Roman" w:hAnsi="Times New Roman"/>
          <w:sz w:val="33"/>
          <w:szCs w:val="33"/>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0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1797" TargetMode="External"/><Relationship Id="rId14"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2026-03-03T15:32:57Z</dcterms:created>
  <dcterms:modified xsi:type="dcterms:W3CDTF">2026-03-03T15:32:57Z</dcterms:modified>
</cp:coreProperties>
</file>