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214630</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5"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FORM 10-Q</w:t>
      </w:r>
    </w:p>
    <w:p>
      <w:pPr>
        <w:spacing w:after="0" w:line="17"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ind w:left="4"/>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0"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58"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684" w:right="60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Commission file number: 001-35629</w:t>
      </w:r>
    </w:p>
    <w:p>
      <w:pPr>
        <w:spacing w:after="0" w:line="2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TILE SHOP HOLDINGS, INC.</w:t>
      </w:r>
    </w:p>
    <w:p>
      <w:pPr>
        <w:spacing w:after="0" w:line="40"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440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44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Plymouth, Minnesota</w:t>
            </w:r>
          </w:p>
        </w:tc>
        <w:tc>
          <w:tcPr>
            <w:tcW w:w="3740" w:type="dxa"/>
            <w:vAlign w:val="bottom"/>
          </w:tcPr>
          <w:p>
            <w:pPr>
              <w:jc w:val="right"/>
              <w:ind w:right="1050"/>
              <w:spacing w:after="0"/>
              <w:rPr>
                <w:sz w:val="20"/>
                <w:szCs w:val="20"/>
                <w:color w:val="auto"/>
              </w:rPr>
            </w:pPr>
            <w:r>
              <w:rPr>
                <w:rFonts w:ascii="Arial" w:cs="Arial" w:eastAsia="Arial" w:hAnsi="Arial"/>
                <w:sz w:val="18"/>
                <w:szCs w:val="18"/>
                <w:b w:val="1"/>
                <w:bCs w:val="1"/>
                <w:color w:val="auto"/>
              </w:rPr>
              <w:t>55441</w:t>
            </w:r>
          </w:p>
        </w:tc>
      </w:tr>
      <w:tr>
        <w:trPr>
          <w:trHeight w:val="234"/>
        </w:trPr>
        <w:tc>
          <w:tcPr>
            <w:tcW w:w="44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(763) 852-2988</w:t>
      </w:r>
    </w:p>
    <w:p>
      <w:pPr>
        <w:spacing w:after="0" w:line="27" w:lineRule="exact"/>
        <w:rPr>
          <w:sz w:val="24"/>
          <w:szCs w:val="24"/>
          <w:color w:val="auto"/>
        </w:rPr>
      </w:pPr>
    </w:p>
    <w:p>
      <w:pPr>
        <w:jc w:val="center"/>
        <w:ind w:right="-83"/>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Arial" w:cs="Arial" w:eastAsia="Arial" w:hAnsi="Arial"/>
          <w:sz w:val="14"/>
          <w:szCs w:val="14"/>
          <w:color w:val="auto"/>
        </w:rPr>
        <w:t>_____________________________</w:t>
      </w:r>
    </w:p>
    <w:p>
      <w:pPr>
        <w:spacing w:after="0" w:line="129" w:lineRule="exact"/>
        <w:rPr>
          <w:sz w:val="24"/>
          <w:szCs w:val="24"/>
          <w:color w:val="auto"/>
        </w:rPr>
      </w:pPr>
    </w:p>
    <w:p>
      <w:pPr>
        <w:ind w:left="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jc w:val="both"/>
        <w:ind w:left="4" w:right="2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15" w:lineRule="exact"/>
        <w:rPr>
          <w:sz w:val="24"/>
          <w:szCs w:val="24"/>
          <w:color w:val="auto"/>
        </w:rPr>
      </w:pPr>
    </w:p>
    <w:p>
      <w:pPr>
        <w:ind w:left="4"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044"/>
          </w:cols>
          <w:pgMar w:left="896" w:top="229" w:right="959" w:bottom="1440" w:gutter="0" w:footer="0" w:header="0"/>
        </w:sectPr>
      </w:pPr>
    </w:p>
    <w:p>
      <w:pPr>
        <w:spacing w:after="0" w:line="127" w:lineRule="exact"/>
        <w:rPr>
          <w:sz w:val="24"/>
          <w:szCs w:val="24"/>
          <w:color w:val="auto"/>
        </w:rPr>
      </w:pPr>
    </w:p>
    <w:p>
      <w:pPr>
        <w:ind w:left="4"/>
        <w:spacing w:after="0" w:line="308"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both"/>
        <w:ind w:right="40"/>
        <w:spacing w:after="0" w:line="250" w:lineRule="exact"/>
        <w:rPr>
          <w:sz w:val="20"/>
          <w:szCs w:val="20"/>
          <w:color w:val="auto"/>
        </w:rPr>
      </w:pPr>
      <w:r>
        <w:rPr>
          <w:rFonts w:ascii="MS PGothic" w:cs="MS PGothic" w:eastAsia="MS PGothic" w:hAnsi="MS PGothic"/>
          <w:sz w:val="16"/>
          <w:szCs w:val="16"/>
          <w:color w:val="auto"/>
        </w:rPr>
        <w:t>☐ ☐</w:t>
      </w:r>
    </w:p>
    <w:p>
      <w:pPr>
        <w:spacing w:after="0" w:line="81" w:lineRule="exact"/>
        <w:rPr>
          <w:sz w:val="24"/>
          <w:szCs w:val="24"/>
          <w:color w:val="auto"/>
        </w:rPr>
      </w:pPr>
    </w:p>
    <w:p>
      <w:pPr>
        <w:sectPr>
          <w:pgSz w:w="11900" w:h="16838" w:orient="portrait"/>
          <w:cols w:equalWidth="0" w:num="5">
            <w:col w:w="1704" w:space="300"/>
            <w:col w:w="4980" w:space="720"/>
            <w:col w:w="1320" w:space="80"/>
            <w:col w:w="660" w:space="80"/>
            <w:col w:w="200"/>
          </w:cols>
          <w:pgMar w:left="896" w:top="229" w:right="959" w:bottom="1440" w:gutter="0" w:footer="0" w:header="0"/>
          <w:type w:val="continuous"/>
        </w:sectPr>
      </w:pPr>
    </w:p>
    <w:p>
      <w:pPr>
        <w:ind w:left="4" w:right="74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July 29, 2016, there were 51,517,238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120650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905510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44"/>
          </w:cols>
          <w:pgMar w:left="896" w:top="229" w:right="9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0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50"/>
        </w:trPr>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0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rPr>
              <w:t>TILE SHOP HOLDINGS, INC.</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gridSpan w:val="6"/>
          </w:tcPr>
          <w:p>
            <w:pPr>
              <w:jc w:val="center"/>
              <w:ind w:right="3400"/>
              <w:spacing w:after="0"/>
              <w:rPr>
                <w:sz w:val="20"/>
                <w:szCs w:val="20"/>
                <w:color w:val="auto"/>
              </w:rPr>
            </w:pPr>
            <w:r>
              <w:rPr>
                <w:rFonts w:ascii="Arial" w:cs="Arial" w:eastAsia="Arial" w:hAnsi="Arial"/>
                <w:sz w:val="18"/>
                <w:szCs w:val="18"/>
                <w:b w:val="1"/>
                <w:bCs w:val="1"/>
                <w:color w:val="auto"/>
                <w:w w:val="89"/>
              </w:rPr>
              <w:t>Table of Contents</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190"/>
        </w:trPr>
        <w:tc>
          <w:tcPr>
            <w:tcW w:w="120" w:type="dxa"/>
            <w:vAlign w:val="bottom"/>
            <w:shd w:val="clear" w:color="auto" w:fill="CCEEFF"/>
          </w:tcPr>
          <w:p>
            <w:pPr>
              <w:spacing w:after="0"/>
              <w:rPr>
                <w:sz w:val="16"/>
                <w:szCs w:val="16"/>
                <w:color w:val="auto"/>
              </w:rPr>
            </w:pPr>
          </w:p>
        </w:tc>
        <w:tc>
          <w:tcPr>
            <w:tcW w:w="9180" w:type="dxa"/>
            <w:vAlign w:val="bottom"/>
            <w:gridSpan w:val="25"/>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00" w:type="dxa"/>
            <w:vAlign w:val="bottom"/>
            <w:tcBorders>
              <w:top w:val="single" w:sz="8" w:color="0000EE"/>
            </w:tcBorders>
            <w:gridSpan w:val="12"/>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120" w:type="dxa"/>
            <w:vAlign w:val="bottom"/>
            <w:tcBorders>
              <w:top w:val="single" w:sz="8" w:color="CCEEFF"/>
            </w:tcBorders>
            <w:gridSpan w:val="10"/>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2"/>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(Loss) Income</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2"/>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Stockholders’ Equity (Deficit)</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2"/>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420" w:type="dxa"/>
            <w:vAlign w:val="bottom"/>
            <w:gridSpan w:val="22"/>
          </w:tcPr>
          <w:p>
            <w:pPr>
              <w:ind w:left="2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9180" w:type="dxa"/>
            <w:vAlign w:val="bottom"/>
            <w:gridSpan w:val="25"/>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8420" w:type="dxa"/>
            <w:vAlign w:val="bottom"/>
            <w:gridSpan w:val="22"/>
          </w:tcPr>
          <w:p>
            <w:pPr>
              <w:ind w:left="2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420" w:type="dxa"/>
            <w:vAlign w:val="bottom"/>
            <w:gridSpan w:val="22"/>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420" w:type="dxa"/>
            <w:vAlign w:val="bottom"/>
            <w:gridSpan w:val="22"/>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842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Signatures</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Exhibit Index</w:t>
              </w:r>
            </w:hyperlink>
          </w:p>
        </w:tc>
        <w:tc>
          <w:tcPr>
            <w:tcW w:w="8200" w:type="dxa"/>
            <w:vAlign w:val="bottom"/>
            <w:tcBorders>
              <w:bottom w:val="single" w:sz="8" w:color="CCEEFF"/>
            </w:tcBorders>
            <w:gridSpan w:val="20"/>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r>
      <w:tr>
        <w:trPr>
          <w:trHeight w:val="864"/>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17"/>
          </w:tcPr>
          <w:p>
            <w:pPr>
              <w:jc w:val="center"/>
              <w:ind w:left="385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08" w:right="8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June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Prepaid inventory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241,665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15,795</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Capital lease obligation,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w w:val="98"/>
              </w:rPr>
              <w:t>Common stock, par value $0.0001; authorized: 100,000,000 shares; issued and outstanding: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51,509,738 and 51,437,973 shares,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182,981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241,665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140" w:type="dxa"/>
            <w:vAlign w:val="bottom"/>
            <w:gridSpan w:val="5"/>
          </w:tcPr>
          <w:p>
            <w:pPr>
              <w:jc w:val="center"/>
              <w:ind w:left="190"/>
              <w:spacing w:after="0"/>
              <w:rPr>
                <w:sz w:val="20"/>
                <w:szCs w:val="20"/>
                <w:color w:val="auto"/>
              </w:rPr>
            </w:pPr>
            <w:r>
              <w:rPr>
                <w:rFonts w:ascii="Arial" w:cs="Arial" w:eastAsia="Arial" w:hAnsi="Arial"/>
                <w:sz w:val="18"/>
                <w:szCs w:val="18"/>
                <w:color w:val="auto"/>
                <w:w w:val="89"/>
              </w:rPr>
              <w:t>Consolidated Statements of Operations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80" w:type="dxa"/>
            <w:vAlign w:val="bottom"/>
            <w:gridSpan w:val="7"/>
          </w:tcPr>
          <w:p>
            <w:pPr>
              <w:jc w:val="center"/>
              <w:ind w:right="640"/>
              <w:spacing w:after="0"/>
              <w:rPr>
                <w:sz w:val="20"/>
                <w:szCs w:val="20"/>
                <w:color w:val="auto"/>
              </w:rPr>
            </w:pPr>
            <w:r>
              <w:rPr>
                <w:rFonts w:ascii="Arial" w:cs="Arial" w:eastAsia="Arial" w:hAnsi="Arial"/>
                <w:sz w:val="18"/>
                <w:szCs w:val="18"/>
                <w:color w:val="auto"/>
                <w:w w:val="88"/>
              </w:rPr>
              <w:t>(dollars in thousands, except per share data)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80" w:type="dxa"/>
            <w:vAlign w:val="bottom"/>
            <w:gridSpan w:val="4"/>
          </w:tcPr>
          <w:p>
            <w:pPr>
              <w:jc w:val="center"/>
              <w:ind w:left="550"/>
              <w:spacing w:after="0"/>
              <w:rPr>
                <w:sz w:val="20"/>
                <w:szCs w:val="20"/>
                <w:color w:val="auto"/>
              </w:rPr>
            </w:pPr>
            <w:r>
              <w:rPr>
                <w:rFonts w:ascii="Arial" w:cs="Arial" w:eastAsia="Arial" w:hAnsi="Arial"/>
                <w:sz w:val="18"/>
                <w:szCs w:val="18"/>
                <w:color w:val="auto"/>
                <w:w w:val="90"/>
              </w:rPr>
              <w:t>(unaudited)</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2"/>
              </w:rPr>
              <w:t>Selling, general and administrative expenses</w:t>
            </w:r>
          </w:p>
        </w:tc>
        <w:tc>
          <w:tcPr>
            <w:tcW w:w="1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(8,907)</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per common share: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9"/>
                <w:szCs w:val="19"/>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51,378,485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51,125,985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51,368,826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51,125,605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51,937,924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51,388,602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51,821,615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51,212,955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30"/>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98"/>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color w:val="auto"/>
                <w:w w:val="98"/>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1"/>
              </w:rPr>
              <w:t>(9)</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1"/>
              </w:rPr>
              <w:t>(7)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47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6,840</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5"/>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earnings</w:t>
            </w:r>
          </w:p>
        </w:tc>
        <w:tc>
          <w:tcPr>
            <w:tcW w:w="1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color w:val="auto"/>
                <w:w w:val="98"/>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income (loss)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51,314,005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93,695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54,036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240" w:type="dxa"/>
            <w:vAlign w:val="bottom"/>
          </w:tcPr>
          <w:p>
            <w:pPr>
              <w:jc w:val="right"/>
              <w:spacing w:after="0"/>
              <w:rPr>
                <w:sz w:val="20"/>
                <w:szCs w:val="20"/>
                <w:color w:val="auto"/>
              </w:rPr>
            </w:pPr>
            <w:r>
              <w:rPr>
                <w:rFonts w:ascii="Arial" w:cs="Arial" w:eastAsia="Arial" w:hAnsi="Arial"/>
                <w:sz w:val="18"/>
                <w:szCs w:val="18"/>
                <w:color w:val="auto"/>
              </w:rPr>
              <w:t>69,932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15,696</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51,437,973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180,192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115,201</w:t>
            </w:r>
          </w:p>
        </w:tc>
        <w:tc>
          <w:tcPr>
            <w:tcW w:w="0" w:type="dxa"/>
            <w:vAlign w:val="bottom"/>
          </w:tcPr>
          <w:p>
            <w:pPr>
              <w:spacing w:after="0"/>
              <w:rPr>
                <w:sz w:val="1"/>
                <w:szCs w:val="1"/>
                <w:color w:val="auto"/>
              </w:rPr>
            </w:pPr>
          </w:p>
        </w:tc>
      </w:tr>
      <w:tr>
        <w:trPr>
          <w:trHeight w:val="203"/>
        </w:trPr>
        <w:tc>
          <w:tcPr>
            <w:tcW w:w="3100" w:type="dxa"/>
            <w:vAlign w:val="bottom"/>
          </w:tcPr>
          <w:p>
            <w:pPr>
              <w:spacing w:after="0" w:line="203" w:lineRule="exact"/>
              <w:rPr>
                <w:sz w:val="20"/>
                <w:szCs w:val="20"/>
                <w:color w:val="auto"/>
              </w:rPr>
            </w:pPr>
            <w:r>
              <w:rPr>
                <w:rFonts w:ascii="Arial" w:cs="Arial" w:eastAsia="Arial" w:hAnsi="Arial"/>
                <w:sz w:val="18"/>
                <w:szCs w:val="18"/>
                <w:color w:val="auto"/>
              </w:rPr>
              <w:t>Issuance of restricted shares</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39,200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left="31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1240" w:type="dxa"/>
            <w:vAlign w:val="bottom"/>
          </w:tcPr>
          <w:p>
            <w:pPr>
              <w:jc w:val="right"/>
              <w:spacing w:after="0"/>
              <w:rPr>
                <w:sz w:val="20"/>
                <w:szCs w:val="20"/>
                <w:color w:val="auto"/>
              </w:rPr>
            </w:pPr>
            <w:r>
              <w:rPr>
                <w:rFonts w:ascii="Arial" w:cs="Arial" w:eastAsia="Arial" w:hAnsi="Arial"/>
                <w:sz w:val="18"/>
                <w:szCs w:val="18"/>
                <w:color w:val="auto"/>
              </w:rPr>
              <w:t>32,565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currency translation adjustments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311"/>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51,509,738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center"/>
              <w:ind w:left="331"/>
              <w:spacing w:after="0"/>
              <w:rPr>
                <w:sz w:val="20"/>
                <w:szCs w:val="20"/>
                <w:color w:val="auto"/>
              </w:rPr>
            </w:pPr>
            <w:r>
              <w:rPr>
                <w:rFonts w:ascii="Arial" w:cs="Arial" w:eastAsia="Arial" w:hAnsi="Arial"/>
                <w:sz w:val="18"/>
                <w:szCs w:val="18"/>
                <w:color w:val="auto"/>
                <w:w w:val="79"/>
              </w:rPr>
              <w:t>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182,981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30"/>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13,607</w:t>
            </w:r>
          </w:p>
        </w:tc>
        <w:tc>
          <w:tcPr>
            <w:tcW w:w="80" w:type="dxa"/>
            <w:vAlign w:val="bottom"/>
          </w:tcPr>
          <w:p>
            <w:pPr>
              <w:spacing w:after="0"/>
              <w:rPr>
                <w:sz w:val="18"/>
                <w:szCs w:val="18"/>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8,149</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11,093</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Debt issuance cost writeoff</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disposals of property, plant and equipment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280" w:type="dxa"/>
            <w:vAlign w:val="bottom"/>
          </w:tcPr>
          <w:p>
            <w:pPr>
              <w:ind w:left="640"/>
              <w:spacing w:after="0"/>
              <w:rPr>
                <w:sz w:val="20"/>
                <w:szCs w:val="20"/>
                <w:color w:val="auto"/>
              </w:rPr>
            </w:pPr>
            <w:r>
              <w:rPr>
                <w:rFonts w:ascii="Arial" w:cs="Arial" w:eastAsia="Arial" w:hAnsi="Arial"/>
                <w:sz w:val="18"/>
                <w:szCs w:val="18"/>
                <w:color w:val="auto"/>
              </w:rPr>
              <w:t>Trade receivables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16"/>
        </w:trPr>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r>
      <w:tr>
        <w:trPr>
          <w:trHeight w:val="216"/>
        </w:trPr>
        <w:tc>
          <w:tcPr>
            <w:tcW w:w="728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16"/>
        </w:trPr>
        <w:tc>
          <w:tcPr>
            <w:tcW w:w="7280" w:type="dxa"/>
            <w:vAlign w:val="bottom"/>
          </w:tcPr>
          <w:p>
            <w:pPr>
              <w:ind w:left="640"/>
              <w:spacing w:after="0"/>
              <w:rPr>
                <w:sz w:val="20"/>
                <w:szCs w:val="20"/>
                <w:color w:val="auto"/>
              </w:rPr>
            </w:pPr>
            <w:r>
              <w:rPr>
                <w:rFonts w:ascii="Arial" w:cs="Arial" w:eastAsia="Arial" w:hAnsi="Arial"/>
                <w:sz w:val="18"/>
                <w:szCs w:val="18"/>
                <w:color w:val="auto"/>
              </w:rPr>
              <w:t>Income tax receivable/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8,560</w:t>
            </w:r>
          </w:p>
        </w:tc>
      </w:tr>
      <w:tr>
        <w:trPr>
          <w:trHeight w:val="216"/>
        </w:trPr>
        <w:tc>
          <w:tcPr>
            <w:tcW w:w="72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10"/>
        </w:trPr>
        <w:tc>
          <w:tcPr>
            <w:tcW w:w="72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38,790</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(11,703)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(7,597)</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72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Payments of long-term debt and capital lease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(26,301)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(28,424)</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on line of credit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Security deposits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w:t>
            </w: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r>
      <w:tr>
        <w:trPr>
          <w:trHeight w:val="216"/>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5,759</w:t>
            </w:r>
          </w:p>
        </w:tc>
      </w:tr>
      <w:tr>
        <w:trPr>
          <w:trHeight w:val="230"/>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w:t>
            </w:r>
          </w:p>
        </w:tc>
      </w:tr>
      <w:tr>
        <w:trPr>
          <w:trHeight w:val="203"/>
        </w:trPr>
        <w:tc>
          <w:tcPr>
            <w:tcW w:w="7280" w:type="dxa"/>
            <w:vAlign w:val="bottom"/>
          </w:tcPr>
          <w:p>
            <w:pPr>
              <w:spacing w:after="0" w:line="203" w:lineRule="exact"/>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Purchases of property, plant and equipment included in accounts payable and accrued expenses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(received) for income taxes, net of refunds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Tile Shop, LLC (“The Tile Shop”) was formed on December 30, 2002, as a Delaware limited liability company and began operations on January 1, 2003. Tile Shop Holdings, Inc. (“Holdings,” and together with its wholly owned subsidiaries, the “Company”) was incorporated under the laws of the state of Delaware in June 2012 to become the parent company of The Tile Shop, LLC.</w:t>
      </w:r>
    </w:p>
    <w:p>
      <w:pPr>
        <w:spacing w:after="0" w:line="14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is a specialty retailer of manufactured and natural stone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2016, the Company had 117 stores in 31 states and an on-line retail operation. The Company also has distribution centers located in Michigan, Virginia, Oklahoma and Wisconsin. The Company has a sourcing operation located in China.</w:t>
      </w:r>
    </w:p>
    <w:p>
      <w:pPr>
        <w:spacing w:after="0" w:line="173"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MS PGothic" w:cs="MS PGothic" w:eastAsia="MS PGothic" w:hAnsi="MS PGothic"/>
          <w:sz w:val="17"/>
          <w:szCs w:val="17"/>
          <w:color w:val="auto"/>
        </w:rPr>
        <w:t>‑</w:t>
      </w:r>
      <w:r>
        <w:rPr>
          <w:rFonts w:ascii="Arial" w:cs="Arial" w:eastAsia="Arial" w:hAnsi="Arial"/>
          <w:sz w:val="17"/>
          <w:szCs w:val="17"/>
          <w:color w:val="auto"/>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2016 are not necessarily indicative of the results that may be expected for the fiscal year ending December 31, 2016.</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statements should be read in conjunction with the Consolidated Financial Statements and footnotes included in our Annual Report on Form 10-K for the fiscal year ended December 31, 2015. The accounting policies used in preparing these Consolidated Financial Statements are the same as those described in Note 1 to the Consolidated Financial Statements in such Form 10-K. Dbt issuance costs presented in the prior year balance sheet have been reclassified to conform to current year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April 2015, the Financial Accounting Standards Board issued a standard that requires debt issuance costs related to a recognized debt liability be presented in the balance sheet as a direct deduction from the carrying amount of that debt liability.</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historically presented debt issuance costs, or fees paid to third party advisors related to directly issuing debt, as assets on the Consolidated Balance Sheet. The guidance simplifies the presentation of debt issuance costs by requiring debt issuance costs to be presented as a deduction from the corresponding liability, consistent with debt discounts. This guidance gives entities the ability to make a policy election regarding the classification of debt issuance costs associated with revolving line of credit agreements. The Company has elected to present the unamortized debt issuance costs associated with its revolving line of credit as other assets in the Consolidated Balance Sheet. Unamortized deferred financing costs attributable to the new market tax credit program are also classified as other assets in the Consolidated Balance Sheet. The Company has applied this guidance retrospectively to the prior period Consolidated Balance Sheet.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reclassification did not impact net income previously reported or any prior amounts reported on the Consolidated Statements of Operations. The following table presents the effect of the retrospective application of this change in accounting principle on the Company’s Consolidated Balance Sheet as of December 31, 2015: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(in thousands)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As Reported</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Effect of Change</w:t>
            </w:r>
          </w:p>
        </w:tc>
        <w:tc>
          <w:tcPr>
            <w:tcW w:w="14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As Adjusted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31,</w:t>
            </w:r>
          </w:p>
        </w:tc>
        <w:tc>
          <w:tcPr>
            <w:tcW w:w="1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in Accounting</w:t>
            </w:r>
          </w:p>
        </w:tc>
        <w:tc>
          <w:tcPr>
            <w:tcW w:w="1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Principle</w:t>
            </w:r>
          </w:p>
        </w:tc>
        <w:tc>
          <w:tcPr>
            <w:tcW w:w="14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current assets, net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80"/>
              <w:spacing w:after="0"/>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assets</w:t>
            </w: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245,435</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Long-term Liabilities: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Long-term debt, net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130,234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(428)</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245,435</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Inventories are stated at the lower of cost (determined on the weighted average cost method) or market. Inventories consist primarily of merchandise held for sale. Inventories were comprised of the following as of June 30, 2016 and December 31, 2015: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7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7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59,503</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Raw materials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2,681</w:t>
            </w:r>
          </w:p>
        </w:tc>
      </w:tr>
      <w:tr>
        <w:trPr>
          <w:trHeight w:val="23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 transit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provisions for losses related to shrinkage and other amounts that are otherwise not expected to be fully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are calculated based on historical shrinkage, selling price, margin and current business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Income taxes</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Company’s effective tax rate on net income before income taxes for the three months ended June 30, 2016 and 2015 was 39.4% and 41.5%, respectively. The improvement in the effective tax rate is due to a decrease in non-deductible incentive stock-based compensation expense in 2016 combined with a reduction in the level of state tax rate changes that triggered unfavorable deferred tax adjustments in 2015. For the three months ended June 30, 2016 and 2015, the Company recorded a provision for income taxes of $4.4 million and $3.2 million, respectively.</w:t>
      </w:r>
    </w:p>
    <w:p>
      <w:pPr>
        <w:spacing w:after="0" w:line="18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Company's effective tax rate on net income before income taxes for the six months ended June 30, 2016 and 2015 was 39.6% and 42.2%, respectively. The improvement in the effective tax rate is due to a decrease in non-deductible incentive stock-based compensation expense in 2016 combined with a reduction in the level of state tax rate changes that triggered unfavorable deferred tax adjustments in 2015. For the six months ended June 30, 2016 and 2015, the Company recorded a provision for income taxes of $8.9 million and $5.9 million,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June 30, 2016 and 2015, the Company has not recognized any liabilities for uncertain tax positions nor have interest and penalties related to uncertain tax positions been accrued.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color w:val="auto"/>
                <w:w w:val="99"/>
              </w:rPr>
              <w:t>(dollars in thousands)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4"/>
          </w:tcPr>
          <w:p>
            <w:pPr>
              <w:jc w:val="right"/>
              <w:ind w:right="210"/>
              <w:spacing w:after="0"/>
              <w:rPr>
                <w:sz w:val="20"/>
                <w:szCs w:val="20"/>
                <w:color w:val="auto"/>
              </w:rPr>
            </w:pPr>
            <w:r>
              <w:rPr>
                <w:rFonts w:ascii="Arial" w:cs="Arial" w:eastAsia="Arial" w:hAnsi="Arial"/>
                <w:sz w:val="18"/>
                <w:szCs w:val="18"/>
                <w:color w:val="auto"/>
                <w:w w:val="92"/>
              </w:rPr>
              <w:t>For the 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5"/>
          </w:tcPr>
          <w:p>
            <w:pPr>
              <w:jc w:val="center"/>
              <w:ind w:right="110"/>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4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color w:val="auto"/>
                <w:w w:val="86"/>
              </w:rPr>
              <w:t>June 30,</w:t>
            </w:r>
          </w:p>
        </w:tc>
      </w:tr>
      <w:tr>
        <w:trPr>
          <w:trHeight w:val="210"/>
        </w:trPr>
        <w:tc>
          <w:tcPr>
            <w:tcW w:w="4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Weighted average basic shares outstanding</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51,378,485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51,125,985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51,368,826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51,125,605</w:t>
            </w:r>
          </w:p>
        </w:tc>
      </w:tr>
      <w:tr>
        <w:trPr>
          <w:trHeight w:val="202"/>
        </w:trPr>
        <w:tc>
          <w:tcPr>
            <w:tcW w:w="47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Effect of dilutive securities attributable to stock-based</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559,439</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262,617</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452,789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87,350</w:t>
            </w: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diluted shares outstanding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51,937,924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51,388,602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51,821,615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51,212,955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Anti-dilutive securities excluded from EPS calculation</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117,807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761,401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1,056,177</w:t>
            </w:r>
          </w:p>
        </w:tc>
      </w:tr>
      <w:tr>
        <w:trPr>
          <w:trHeight w:val="634"/>
        </w:trPr>
        <w:tc>
          <w:tcPr>
            <w:tcW w:w="4760" w:type="dxa"/>
            <w:vAlign w:val="bottom"/>
          </w:tcPr>
          <w:p>
            <w:pPr>
              <w:spacing w:after="0"/>
              <w:rPr>
                <w:sz w:val="20"/>
                <w:szCs w:val="20"/>
                <w:color w:val="auto"/>
              </w:rPr>
            </w:pPr>
            <w:r>
              <w:rPr>
                <w:rFonts w:ascii="Arial" w:cs="Arial" w:eastAsia="Arial" w:hAnsi="Arial"/>
                <w:sz w:val="18"/>
                <w:szCs w:val="18"/>
                <w:b w:val="1"/>
                <w:bCs w:val="1"/>
                <w:color w:val="auto"/>
              </w:rPr>
              <w:t>Note 5: Other Accrued Liabilities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9"/>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(in thousands)</w:t>
            </w:r>
          </w:p>
        </w:tc>
      </w:tr>
      <w:tr>
        <w:trPr>
          <w:trHeight w:val="230"/>
        </w:trPr>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8"/>
              </w:rPr>
              <w:t>June 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30"/>
        </w:trPr>
        <w:tc>
          <w:tcPr>
            <w:tcW w:w="4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Accrued wages and salaries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4,336</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Sales return reserve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3,043</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r>
      <w:tr>
        <w:trPr>
          <w:trHeight w:val="217"/>
        </w:trPr>
        <w:tc>
          <w:tcPr>
            <w:tcW w:w="4760" w:type="dxa"/>
            <w:vAlign w:val="bottom"/>
          </w:tcPr>
          <w:p>
            <w:pPr>
              <w:ind w:left="220"/>
              <w:spacing w:after="0"/>
              <w:rPr>
                <w:sz w:val="20"/>
                <w:szCs w:val="20"/>
                <w:color w:val="auto"/>
              </w:rPr>
            </w:pPr>
            <w:r>
              <w:rPr>
                <w:rFonts w:ascii="Arial" w:cs="Arial" w:eastAsia="Arial" w:hAnsi="Arial"/>
                <w:sz w:val="18"/>
                <w:szCs w:val="18"/>
                <w:color w:val="auto"/>
              </w:rPr>
              <w:t>Total other accrued 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2, 2015, the Company and its operating subsidiary, The Tile Shop, LLC, entered into a credit agreement with Fifth Third Bank,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and Huntington National Bank (the “Credit Agreement”). The Credit Agreement provides the Company with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$125.0 million senior secured credit facility, comprised of a five-year $50.0 million term loan and a $75.0 million revolving line of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is secured by virtually all of the assets of the Company, including but not limited to, inventory, receivables,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equipment and real property. Borrowings pursuant to the Credit Agreement bear interest at either a base rate or a LIBOR-based rate,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of the Company. The LIBOR-based rate will range from LIBOR plus 1.50% to 2.00%, depending on The Tile Shop’s leverage ratio.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base rate is equal to the greatest of: (a) the Federal funds rate plus 0.50%, (b) the Fifth Third Bank “prime rate,” and (c) the Eurodollar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plus 1.00%, in each case plus 0.50% to 1.00% depending on The Tile Shop’s leverage ratio. At June 30, 2016 the base interest rate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 and the LIBOR-based interest rate was 1.97%. Borrowings outstanding consisted of $29.2 million on the term loan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The Company can elect to prepay the term loan without incurring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penalty. Additional borrowings pursuant to the Credit Agreement may be used to support the Company’s growth and for working capital purposes. The Company incurred $1.0 million of debt issuance costs in connection with the Credit Agreement, which will be amortized over the five-year life of the Credit Agreement. Debt issuance costs attributable to the term loan are classified as a reduction of debt in the Consolidated Balance Sheet. Debt issuance costs attributable to the revolving line of credit are classified as assets in the Consolidated Balance Sheet. The term loan requires quarterly principal payments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 to June 30, 2017</w:t>
            </w:r>
          </w:p>
        </w:tc>
        <w:tc>
          <w:tcPr>
            <w:tcW w:w="3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September 30, 2017 to June 30, 2018</w:t>
            </w: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 to March 31, 2020</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In addition, except with respect to pro rata payments made by The Tile Shop or other subsidiaries to Holdings or any other equity owner of such entity, the Credit Agreement prohibits the payments of cash dividends. The Company was in compliance with the covenants as of June 30,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June 30, 2016 and December 31, 2015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June 30, 2016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5"/>
          </w:tcPr>
          <w:p>
            <w:pPr>
              <w:ind w:left="80"/>
              <w:spacing w:after="0"/>
              <w:rPr>
                <w:sz w:val="20"/>
                <w:szCs w:val="20"/>
                <w:color w:val="auto"/>
              </w:rPr>
            </w:pPr>
            <w:r>
              <w:rPr>
                <w:rFonts w:ascii="Arial" w:cs="Arial" w:eastAsia="Arial" w:hAnsi="Arial"/>
                <w:sz w:val="18"/>
                <w:szCs w:val="18"/>
                <w:color w:val="auto"/>
              </w:rPr>
              <w:t>December 31, 2015</w:t>
            </w:r>
          </w:p>
        </w:tc>
      </w:tr>
      <w:tr>
        <w:trPr>
          <w:trHeight w:val="209"/>
        </w:trPr>
        <w:tc>
          <w:tcPr>
            <w:tcW w:w="6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Unamortized</w:t>
            </w:r>
          </w:p>
        </w:tc>
        <w:tc>
          <w:tcPr>
            <w:tcW w:w="20" w:type="dxa"/>
            <w:vAlign w:val="bottom"/>
          </w:tcPr>
          <w:p>
            <w:pPr>
              <w:spacing w:after="0"/>
              <w:rPr>
                <w:sz w:val="18"/>
                <w:szCs w:val="18"/>
                <w:color w:val="auto"/>
              </w:rPr>
            </w:pPr>
          </w:p>
        </w:tc>
      </w:tr>
      <w:tr>
        <w:trPr>
          <w:trHeight w:val="230"/>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Debt Issuance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Debt Issuance</w:t>
            </w:r>
          </w:p>
        </w:tc>
      </w:tr>
      <w:tr>
        <w:trPr>
          <w:trHeight w:val="230"/>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Principal</w:t>
            </w: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Costs</w:t>
            </w:r>
          </w:p>
        </w:tc>
        <w:tc>
          <w:tcPr>
            <w:tcW w:w="4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Costs</w:t>
            </w:r>
          </w:p>
        </w:tc>
      </w:tr>
      <w:tr>
        <w:trPr>
          <w:trHeight w:val="182"/>
        </w:trPr>
        <w:tc>
          <w:tcPr>
            <w:tcW w:w="6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Term note payable - interest at 1.97% and 2.18% at June 30, 2016 and December</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31, 2015,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22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20"/>
                <w:szCs w:val="20"/>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Variable interest rate bonds (0.35% at both June 30, 2016 and December 31, 2015),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which mature April 1, 2023, collateralized by buildings and equipment</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These consolidated financial statements include the following financial instruments: cash and cash equivalents, trade receivables, accounts payable, accrued expenses, capital leases, notes payable, and debt. At June 30, 2016 and December 31, 2015, the carrying amount of the Company’s cash and cash equivalents, trade receivables, accounts payable and accrued expenses approximated their fair values due to their short-term maturities. The carrying value of the Company’s borrowings and capital lease obligation approximates fair value based upon the market interest rates available to the Company for debt and capital lease obligations with similar risk and maturities.</w:t>
      </w:r>
    </w:p>
    <w:p>
      <w:pPr>
        <w:spacing w:after="0" w:line="15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that are available in active markets for the identical assets or liabilities at the measurement date.</w:t>
      </w: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00"/>
          </w:cols>
          <w:pgMar w:left="900" w:top="121" w:right="7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27" w:lineRule="exact"/>
        <w:rPr>
          <w:sz w:val="20"/>
          <w:szCs w:val="20"/>
          <w:color w:val="auto"/>
        </w:rPr>
      </w:pPr>
    </w:p>
    <w:p>
      <w:pPr>
        <w:ind w:left="900" w:hanging="580"/>
        <w:spacing w:after="0"/>
        <w:tabs>
          <w:tab w:leader="none" w:pos="9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Quoted prices for similar assets or liabilities in active markets;</w:t>
      </w:r>
    </w:p>
    <w:p>
      <w:pPr>
        <w:spacing w:after="0" w:line="139" w:lineRule="exact"/>
        <w:rPr>
          <w:rFonts w:ascii="Arial" w:cs="Arial" w:eastAsia="Arial" w:hAnsi="Arial"/>
          <w:sz w:val="29"/>
          <w:szCs w:val="29"/>
          <w:color w:val="auto"/>
          <w:vertAlign w:val="superscript"/>
        </w:rPr>
      </w:pPr>
    </w:p>
    <w:p>
      <w:pPr>
        <w:ind w:left="880" w:hanging="560"/>
        <w:spacing w:after="0" w:line="181" w:lineRule="auto"/>
        <w:tabs>
          <w:tab w:leader="none" w:pos="8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Quoted prices for identical or similar assets in non-active markets;</w:t>
      </w:r>
    </w:p>
    <w:p>
      <w:pPr>
        <w:spacing w:after="0" w:line="140" w:lineRule="exact"/>
        <w:rPr>
          <w:rFonts w:ascii="Arial" w:cs="Arial" w:eastAsia="Arial" w:hAnsi="Arial"/>
          <w:sz w:val="29"/>
          <w:szCs w:val="29"/>
          <w:color w:val="auto"/>
          <w:vertAlign w:val="superscript"/>
        </w:rPr>
      </w:pPr>
    </w:p>
    <w:p>
      <w:pPr>
        <w:ind w:left="800" w:hanging="480"/>
        <w:spacing w:after="0" w:line="181" w:lineRule="auto"/>
        <w:tabs>
          <w:tab w:leader="none" w:pos="8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Inputs other than quoted prices that are observable for the asset or liability; and</w:t>
      </w:r>
    </w:p>
    <w:p>
      <w:pPr>
        <w:spacing w:after="0" w:line="140" w:lineRule="exact"/>
        <w:rPr>
          <w:rFonts w:ascii="Arial" w:cs="Arial" w:eastAsia="Arial" w:hAnsi="Arial"/>
          <w:sz w:val="29"/>
          <w:szCs w:val="29"/>
          <w:color w:val="auto"/>
          <w:vertAlign w:val="superscript"/>
        </w:rPr>
      </w:pPr>
    </w:p>
    <w:p>
      <w:pPr>
        <w:ind w:left="740" w:hanging="420"/>
        <w:spacing w:after="0" w:line="181" w:lineRule="auto"/>
        <w:tabs>
          <w:tab w:leader="none" w:pos="74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Inputs that are derived principally from or corroborated by other observable market data.</w:t>
      </w:r>
    </w:p>
    <w:p>
      <w:pPr>
        <w:spacing w:after="0" w:line="20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 These values are generally determined using pricing models for which the assumptions utilize management’s estimates of market participant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measures and recognizes compensation expense for all stock-based awards at fair value. The financial statements for the three and six months ended June 30, 2016 and 2015 include compensation cost for the portion of outstanding awards that vested during those periods. The Company recognizes stock-based compensation costs on a straight-line basis over the requisite service period of the award, which is generally the option vesting term. Total stock-based compensation expense related to stock options was $0.9 million for both the three months ended June 30, 2016 and 2015. Total stock-based compensation expense related to stock options was $1.9 million and $1.7 million for the six months ended June 30, 2016 and 2015, respectively. Stock-based compensation expense is included in selling, general and administrative expenses in the accompanying Consolidated Statements of Operations.</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2016, the Company had outstanding stock options to purchase 2,817,763 shares of common stock at a weighted average exercise price of $13.22.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awards restricted common shares to selected employees, and non-employee directors. Recipients are not required to provide any consideration other than continued service. Restricted share awards are subject to certain restrictions on transfer, and all or part of the shares awarded may be subject to forfeiture upon the occurrence of certain events, including employment termination. The restricted stock is valued at its grant date fair value and expensed over the requisite service period or the vesting term of the awards. Total stock-based compensation expense related to restricted stock was $0.3 million and $0.5 million for the three months ended June 30, 2016 and 2015, respectively. Total stock-based compensation expense related to restricted stock was $0.6 million and $1.0 million for the six months ended June 30, 2016 and 2015, respectively. Stock-based compensation expense is included in selling, general and administrative expenses in the accompanying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 Company had 118,236 outstanding restricted common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New Market Tax Credit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July 2013 the Company entered into a financing transaction with Chase Community Equity (“Chase”), and U.S. Bank Community, LLC (“U.S. Bank”, and, collectively with Chase, the “investors”) related to a $19.1 million acquisition, rehabilitation and construction of the Company’s new distribution and manufacturing center in Durant, Oklahoma. The investors made a capital contribution to, and Tile Shop Lending made a loan to Chase New Market Tax Credit, The Tile Shop of Oklahoma Investment Fund, LLC, and The Tile Shop Investment Fund LLC (the “Investment Funds”)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8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July 2013, Tile Shop Lending loaned $13.5 million to the Investment Funds at an interest rate of 1.35% per year and with a maturity of September 30, 2043. The Investment Funds then contributed the loan to certain CDEs, which, in turn, loaned the funds on similar terms to Tile Shop of Oklahoma, LLC, an indirect, wholly-owned subsidiary of the Company. The proceeds of the loans from</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CDEs (including loans representing the capital contribution made by the investors, net of syndication fees) were used to partially fund the new manufacturing and distribution center project.</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July 2013, the investors also contributed $5.6 million to the Investment Funds and, by virtue of such contribution, are entitled to substantially all of the tax benefits derived from the NMTCs, while the Company effectively received net loan proceeds equal to the investors’ contributions to the Investment Fund.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has determined that the financing arrangement with the Investment Funds and CDEs contains a variable interest entity (“VIE”). The ongoing activities of the Investment Funds – collecting and remitting interest and fees and NMTC compliance – were all considered in the initial design and are not expected to significantly affect economic performance throughout the life of the Investment Funds. Management considered the contractual arrangements that obligate the Company to deliver tax benefits and provide various other guarantees to the structure; Chase’s and U.S. Bank’s lack of a material interest in the underling economics of the project; and the fact that the Company is obligated to absorb losses of the Investment Fund. The Company concluded that it is the primary beneficiary of the VIE and consolidated the Investment Funds, as a VIE, in accordance with the accounting standards for consolidation. Chase’s and U.S. Bank’s contributions of $4.4 million, net of syndication fees, are included in cash and other long-term liabilities in the accompanying Consolidated Balance Sheet. The benefit of this net $4.4 million contribution is recognized as a decrease in depreciation expense as the Company amortizes the contribution liability over the seven-year compliance period as it is being earned through the on-going compliance with the conditions of the NMTC program. As of June 30, 2016, the balance of the contribution liability was $2.8 million and is classified as other long-term liabilities on the Consolidated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two of its former executive officers, five of its outside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then consolidated. The plaintiffs are three investors who represent a class or classes consisting of (1) all purchasers of Tile Shop common stock between August 22, 2012 and January 28, 2014 (the “alleged class period”), seeking to pursue remedies under the Securities Exchange Act of 1934; and (2) all purchasers of Tile Shop common stock pursuant and/or traceable to the Company’s December 2012 registration statements, seeking to pursue remedies under the Securities Act of 1933. Six firms who were underwriters in the December 2012 secondary public offering are also named as defendants. In their consolidated amended complaint (the “complaint”), the plaintiffs allege that during the alleged class period, certain defendants made false or misleading statements of material fact in press releases and SEC filings about the Company’s relationships with its vendors, its gross margins, and its supply chain and producer relationships, and that defendants failed to disclose certain related party transactions. The complaint asserts claims under Sections 11, 12(a)(2), and 15 of the Securities Act of 1933, and under Sections 10(b) and 20(a) of the Securities Exchange Act of 1934. In addition to attorney’s fees and costs, the plaintiffs seek to recover damages on behalf of the members of the purported classes. The defendants are vigorously defending the matter. The parties are now providing expert reports and conducting expert discovery.</w:t>
      </w:r>
    </w:p>
    <w:p>
      <w:pPr>
        <w:spacing w:after="0" w:line="1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also is a Defendant in a consolidated action brought derivatively on behalf of the Company by two shareholders of the Company. One action was first filed in the United States District Court for the District of Minnesota, and then voluntarily dismissed and re-filed in the Court of Chancery for the State of Delaware (“Delaware Chancery Court”). The second action was filed in Delaware Chancery Court. The two actions have since been consolidated by the Delaware Chancery Court under the caption In re Tile Shop Holdings, Inc. Stockholder Derivative Litigation. On July 31, 2015, the plaintiff-shareholders filed their Verified Consolidated Stockholder Derivative Complaint (“complaint”). The complaint names as defendants six members of the Company’s Board of Directors, and a former employee of the Company. The complaint tracks many of the same factual allegations as have been made in the above-described federal securities class action. It alleges that the defendant-directors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 also alleges claims for insider trading and unjust enrichment. The complaint seeks damages, disgorgement, an award of attorneys’ fees and other expenses, and an order compelling changes to the Company’s corporate governance and internal procedures. On November 2, 2015, defendants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filed a motion to dismiss the derivative action, or in the alternative, to stay it pending resolution of the Beaver County Employees’ Retirement Fund action described above. Subsequently, the parties entered into a stipulation, and the Court entered an Order, staying the derivative action until resolution of the Beaver County Employees’ Retirement Fund action described above, or until a mutually agreeable resolution of the derivative action.</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By letter dated May 19, 2016, a shareholder of the Company demanded that the Board of Directors investigate alleged breaches of fiduciary duty related to the same matters as alleged in the Verified Consolidated Stockholder Derivative Complaint, and take action against certain present and former officers and directors of the Company. The Board has not yet responded to the shareholder demand letter.</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Accounting Pronouncements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May 2014, the Financial Accounting Standards Board (“FASB”) issued a final standard on revenue from contracts with customers. The new standard sets forth a single comprehensive model for recognizing and reporting revenue. The new standard is effective for the Company in fiscal year 2018, and permits the use of either a retrospective or a cumulative effect transition method. The Company is currently assessing the impact of implementing the new guidance on its consolidated financial statements.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2014, the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new standard becomes effective for the Company in the annual financial statements for fiscal 2016 and requires an ongoing evaluation at each interim and annual period thereafter. The Company is currently assessing the effect the new standard will have on its consolidated financial statements.</w:t>
      </w:r>
    </w:p>
    <w:p>
      <w:pPr>
        <w:spacing w:after="0" w:line="17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April 2015, the FASB issued a standard that requires debt issuance costs related to a recognized debt liability be presented in the balance sheet as a direct deduction from the carrying amount of that debt liability. The Company adopted the provisions of this statement in the first quarter of 2016 and prior periods have been retrospectively adjusted (see “Note 1 to the Consolidated Financial Statements”).</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February 2015, the FASB issued a new accounting standard that will modify current consolidation guidance. The standard makes changes to both the variable interest entity model and the voting interest entity model, including modifying the evaluation of whether limited partnerships or similar legal entities are VIEs or voting interest entities and amending the guidance for assessing how relationships of related parties affect the consolidation analysis of VIEs. The standard was effective for the Company as of the beginning of fiscal 2016. The adoption of this new standard did not have a material effect on the Company’s financial statements.</w:t>
      </w:r>
    </w:p>
    <w:p>
      <w:pPr>
        <w:spacing w:after="0" w:line="1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Currently, the Company applies the net realizable value market option to measure inventories at the lower of cost or market. These changes become effective for the Company in fiscal 2017. The Company is currently assessing the effect the new standard will have on its consolidated financial statements.</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February 2016, the FASB issued a standard that primarily requires organizations that lease assets to recognize the rights and obligations created by those leases on the balance sheet. The standard is effective in 2019, with early adoption permitted. The Company is currently assessing the effect the new standard will have on its consolidated financial statements.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21" w:right="9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2016, the FASB issued a standard that changes the accounting for certain aspects of share-based payments to employees. The guidance requires the recognition of the income tax effects of awards in the income statement when the awards vest or are settled, thus eliminating additional paid-in capital tax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in 2017 with early adoption permitted. The Company is currently assessing the effect the new standard will have on its consolidated financial statements.</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60"/>
          </w:cols>
          <w:pgMar w:left="900" w:top="121"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2015 and our consolidated financial statements and related notes appearing elsewhere in this Quarterly Report on Form 10-Q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opening new stores and maintaining, renovating or relocating existing stores, changes to economic conditions and customer preferences, disruptions in our supply chain, or inventory management,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2015,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a specialty retailer of manufactured and natural stone tiles, setting and maintenance materials, and related accessories in the United States. We offer a wide selection of products, attractive prices, and exceptional customer service in an extensive showroom setting. As of June 30, 2016, we operated 117 stores in 31 states, with an average size of 21,600 square feet. We also sell our products on our website.</w:t>
      </w:r>
    </w:p>
    <w:p>
      <w:pPr>
        <w:spacing w:after="0" w:line="14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manufactured and natural stone tiles, accessories, and related materials in the United States.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believe that the highly-fragmented United States retail tile market provides us with a significant opportunity to expand our store base. We opened 4 new stores in the first six months of 2016, and opened 7 new stores in 2015. We plan to open an additional 6 to 8 new stores in 2016 and relocate 2 stores during 2016.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three and six months ended June 30, 2016, we reported net sales of $84.3 million and $169.0 million, respectively, and income from operations of $11.7 million and $23.5 million respectively. For the three and six months ended June 30, 2015, we reported net sales of $75.7 million and $148.7 million, respectively, and income from operations of $8.4 million and $15.6 million, respectively. The increase in sales and income from operations was primarily due to same store sales growth of 8.2% and 10.6% for the three months ended June 30, 2016 and 2015, respectively.</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provided by operating activities was $40.8 million and $38.8 million for the three months ended June 30, 2016 and 2015, respectively, which was used to fund operations, new store construction activities, and debt repayments. We expect to continue to fund our capital expenditures and daily operations from our operating cash flows. As of June 30, 2016, we had cash of $13.4 million and working capital of $39.3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represents total charges to customers, net of returns, and includes freight charged to customers. We recognize sales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time that the customer takes possession of the merchandise or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Comparable store sales for the three months ended June 30, 2016 increased $6.2 million, compared to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Comparable store sales for the six months ended June 30, 2016 increased $15.8 million, compared to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The table below sets forth information about our same store sales growth for the three and six months ended June 30, 2016 and 2015.</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700" w:type="dxa"/>
            <w:vAlign w:val="bottom"/>
            <w:gridSpan w:val="5"/>
          </w:tcPr>
          <w:p>
            <w:pPr>
              <w:jc w:val="center"/>
              <w:ind w:right="140"/>
              <w:spacing w:after="0"/>
              <w:rPr>
                <w:sz w:val="20"/>
                <w:szCs w:val="20"/>
                <w:color w:val="auto"/>
              </w:rPr>
            </w:pPr>
            <w:r>
              <w:rPr>
                <w:rFonts w:ascii="Arial" w:cs="Arial" w:eastAsia="Arial" w:hAnsi="Arial"/>
                <w:sz w:val="18"/>
                <w:szCs w:val="18"/>
                <w:color w:val="auto"/>
                <w:w w:val="88"/>
              </w:rPr>
              <w:t>For the three months ended</w:t>
            </w:r>
          </w:p>
        </w:tc>
        <w:tc>
          <w:tcPr>
            <w:tcW w:w="254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30"/>
        </w:trPr>
        <w:tc>
          <w:tcPr>
            <w:tcW w:w="488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6"/>
              </w:rPr>
              <w:t>June 30,</w:t>
            </w:r>
          </w:p>
        </w:tc>
        <w:tc>
          <w:tcPr>
            <w:tcW w:w="880" w:type="dxa"/>
            <w:vAlign w:val="bottom"/>
            <w:tcBorders>
              <w:bottom w:val="single" w:sz="8" w:color="auto"/>
            </w:tcBorders>
          </w:tcPr>
          <w:p>
            <w:pPr>
              <w:spacing w:after="0"/>
              <w:rPr>
                <w:sz w:val="20"/>
                <w:szCs w:val="20"/>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Same store sales growth</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10.6 %</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5.1 %</w:t>
            </w:r>
          </w:p>
        </w:tc>
      </w:tr>
    </w:tbl>
    <w:p>
      <w:pPr>
        <w:spacing w:after="0" w:line="20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Our increase in same store sales growth is primarily attributable to an increase in the volume of transactions, as well as increases in average transaction size. Same store sale amounts include total charges to customers less any actual returns, and the change in the returns provision related to comparable stores. In general, we consider a store comparable on the first day of the 13th full month of operation.</w:t>
      </w:r>
    </w:p>
    <w:p>
      <w:pPr>
        <w:spacing w:after="0" w:line="1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Between July 1, 2015 and June 30, 2016, we opened 9 new store locations. Incremental net sales of $2.4 million and $4.5 million occurred in the three and six months ended June 30, 2016 respectively, from stores not included in the comparable store base.</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consists primarily of material costs, freight, duties, and storage and delivery of product to the customers,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costs associated with manufacturing of setting and maintenance materials. For the three months ended June 30, 2016 and 2015, our cost of sales as a percentage of net sales was 30.3% and 32.2%, respectively. The decrease was primarily attributable to less discounts and improved freight collection. For the six months ended June 30, 2016 and 2015, our cost of sales as a percentage of net sales was 29.9% and 31.2%, respectively. The decrease was primarily attributable to less discounts, improved freight collection, and inventory control process improvements.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For the three months ended June 30, 2016 and 2015, our selling, general,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expenses a percentage of net sales were 55.8% and 56.7%, respectively. The decrease was primarily attributable to an increase in same store sales, which outpaced the growth of selling, general, and administrative expenses for the three months ended June 30, 2016. For the six months ended June 30, 2016 and 2015, our selling, general, and administrative expenses as a percentage of net sales were 56.2% and 58.3%, respectively. The decrease was primarily attributable to an increase in same store sales, which outpaced the growth of selling, general, and administrative expense for the six months ended June 30, 2016.</w:t>
      </w:r>
    </w:p>
    <w:p>
      <w:pPr>
        <w:spacing w:after="0" w:line="17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We are subject to income tax in the United States as well as other tax jurisdictions in which we conduct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Our effective tax rate for the three months ended June 30, 2016 and 2015 was 39.4% and 41.5%, respectively. Our effective tax rate for the six months ended June 30, 2016 and 2015 was 39.6% and 42.2%, respectively. The improvement in the three and six month effective tax rate is due to a decrease in non-deductible incentive stock-based compensation expense in 2016 combined with a reduction in the level of state tax rate changes that triggered unfavorable deferred tax adjustments in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calculate Adjusted EBITDA by taking net income calculated in accordance with accounting principles generally accepted in the United States, or GAAP, and adjusting for interest expense, income taxes, depreciation and amortization, stock based compensation expense, and special charges consisting of litigation costs, which are primarily related to shareholder litigation, and losses incurred with the renegotiation of debt. Adjusted EBITDA margin is equal to Adjusted EBITDA divided by net sales. Free cash flows is calculated by taking net cash provided by operating activities and subtracting net cash used for capital expenditures. Non-GAAP net income excludes the special charges consisting of litigation costs and losses incurred in connection with the renegotiation of debt, and is net of tax.</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six months ended June 30, 2016 and 2015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gridSpan w:val="4"/>
          </w:tcPr>
          <w:p>
            <w:pPr>
              <w:jc w:val="right"/>
              <w:ind w:right="550"/>
              <w:spacing w:after="0"/>
              <w:rPr>
                <w:sz w:val="20"/>
                <w:szCs w:val="20"/>
                <w:color w:val="auto"/>
              </w:rPr>
            </w:pPr>
            <w:r>
              <w:rPr>
                <w:rFonts w:ascii="Arial" w:cs="Arial" w:eastAsia="Arial" w:hAnsi="Arial"/>
                <w:sz w:val="18"/>
                <w:szCs w:val="18"/>
                <w:color w:val="auto"/>
              </w:rPr>
              <w:t>Six Months Ended</w:t>
            </w:r>
          </w:p>
        </w:tc>
      </w:tr>
      <w:tr>
        <w:trPr>
          <w:trHeight w:val="230"/>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47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1,598</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11,093</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r>
      <w:tr>
        <w:trPr>
          <w:trHeight w:val="217"/>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30,222</w:t>
            </w: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reconciliation of free cash flows to net cash provided by operating activities for the six months ended June 30, 2016 and 2015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center"/>
              <w:ind w:right="190"/>
              <w:spacing w:after="0"/>
              <w:rPr>
                <w:sz w:val="20"/>
                <w:szCs w:val="20"/>
                <w:color w:val="auto"/>
              </w:rPr>
            </w:pPr>
            <w:r>
              <w:rPr>
                <w:rFonts w:ascii="Arial" w:cs="Arial" w:eastAsia="Arial" w:hAnsi="Arial"/>
                <w:sz w:val="18"/>
                <w:szCs w:val="18"/>
                <w:color w:val="auto"/>
                <w:w w:val="91"/>
              </w:rPr>
              <w:t>(in thousands)</w:t>
            </w:r>
          </w:p>
        </w:tc>
      </w:t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center"/>
              <w:ind w:right="170"/>
              <w:spacing w:after="0"/>
              <w:rPr>
                <w:sz w:val="20"/>
                <w:szCs w:val="20"/>
                <w:color w:val="auto"/>
              </w:rPr>
            </w:pPr>
            <w:r>
              <w:rPr>
                <w:rFonts w:ascii="Arial" w:cs="Arial" w:eastAsia="Arial" w:hAnsi="Arial"/>
                <w:sz w:val="18"/>
                <w:szCs w:val="18"/>
                <w:color w:val="auto"/>
                <w:w w:val="91"/>
              </w:rPr>
              <w:t>Six Months Ended</w:t>
            </w:r>
          </w:p>
        </w:tc>
      </w:tr>
      <w:tr>
        <w:trPr>
          <w:trHeight w:val="230"/>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40,761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38,790</w:t>
            </w: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60" w:type="dxa"/>
            <w:vAlign w:val="bottom"/>
          </w:tcPr>
          <w:p>
            <w:pPr>
              <w:spacing w:after="0"/>
              <w:rPr>
                <w:sz w:val="19"/>
                <w:szCs w:val="19"/>
                <w:color w:val="auto"/>
              </w:rPr>
            </w:pPr>
          </w:p>
        </w:tc>
        <w:tc>
          <w:tcPr>
            <w:tcW w:w="10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(11,703)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w w:val="91"/>
              </w:rPr>
              <w:t>(7,597)</w:t>
            </w:r>
          </w:p>
        </w:tc>
      </w:tr>
      <w:tr>
        <w:trPr>
          <w:trHeight w:val="217"/>
        </w:trPr>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0"/>
              </w:rPr>
              <w:t>29,058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31,193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Non-GAAP net income to GAAP net income for the three and six months ended June 30, 2016 and 2015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7"/>
          </w:tcPr>
          <w:p>
            <w:pPr>
              <w:jc w:val="center"/>
              <w:ind w:left="570"/>
              <w:spacing w:after="0"/>
              <w:rPr>
                <w:sz w:val="20"/>
                <w:szCs w:val="20"/>
                <w:color w:val="auto"/>
              </w:rPr>
            </w:pPr>
            <w:r>
              <w:rPr>
                <w:rFonts w:ascii="Arial" w:cs="Arial" w:eastAsia="Arial" w:hAnsi="Arial"/>
                <w:sz w:val="18"/>
                <w:szCs w:val="18"/>
                <w:color w:val="auto"/>
                <w:w w:val="88"/>
              </w:rPr>
              <w:t>three months Ended</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7"/>
          </w:tcPr>
          <w:p>
            <w:pPr>
              <w:jc w:val="center"/>
              <w:ind w:left="550"/>
              <w:spacing w:after="0"/>
              <w:rPr>
                <w:sz w:val="20"/>
                <w:szCs w:val="20"/>
                <w:color w:val="auto"/>
              </w:rPr>
            </w:pPr>
            <w:r>
              <w:rPr>
                <w:rFonts w:ascii="Arial" w:cs="Arial" w:eastAsia="Arial" w:hAnsi="Arial"/>
                <w:sz w:val="18"/>
                <w:szCs w:val="18"/>
                <w:color w:val="auto"/>
                <w:w w:val="88"/>
              </w:rPr>
              <w:t>three months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1"/>
              </w:rPr>
              <w:t>June 30, 2016</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June 30, 2015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w w:val="98"/>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1"/>
              </w:rPr>
              <w:t>(in thousands, except share and per share data)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Amounts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Litigation costs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Write-off of debt issuance costs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r>
              <w:rPr>
                <w:rFonts w:ascii="Arial" w:cs="Arial" w:eastAsia="Arial" w:hAnsi="Arial"/>
                <w:sz w:val="8"/>
                <w:szCs w:val="8"/>
                <w:color w:val="auto"/>
              </w:rPr>
              <w:t>(1)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gridSpan w:val="6"/>
            <w:vMerge w:val="restart"/>
          </w:tcPr>
          <w:p>
            <w:pPr>
              <w:jc w:val="center"/>
              <w:spacing w:after="0"/>
              <w:rPr>
                <w:sz w:val="20"/>
                <w:szCs w:val="20"/>
                <w:color w:val="auto"/>
              </w:rPr>
            </w:pPr>
            <w:r>
              <w:rPr>
                <w:rFonts w:ascii="Arial" w:cs="Arial" w:eastAsia="Arial" w:hAnsi="Arial"/>
                <w:sz w:val="18"/>
                <w:szCs w:val="18"/>
                <w:color w:val="auto"/>
                <w:w w:val="86"/>
              </w:rPr>
              <w:t>six months Ended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7"/>
            <w:vMerge w:val="restart"/>
          </w:tcPr>
          <w:p>
            <w:pPr>
              <w:jc w:val="center"/>
              <w:ind w:left="550"/>
              <w:spacing w:after="0"/>
              <w:rPr>
                <w:sz w:val="20"/>
                <w:szCs w:val="20"/>
                <w:color w:val="auto"/>
              </w:rPr>
            </w:pPr>
            <w:r>
              <w:rPr>
                <w:rFonts w:ascii="Arial" w:cs="Arial" w:eastAsia="Arial" w:hAnsi="Arial"/>
                <w:sz w:val="18"/>
                <w:szCs w:val="18"/>
                <w:color w:val="auto"/>
                <w:w w:val="89"/>
              </w:rPr>
              <w:t>six months Ended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2"/>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6"/>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7"/>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1"/>
              </w:rPr>
              <w:t>June 30, 2016</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June 30, 2015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w w:val="98"/>
              </w:rPr>
              <w:t>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1"/>
              </w:rPr>
              <w:t>(in thousands, except share and per share data)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Amounts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9"/>
              </w:rPr>
              <w:t>Pretax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Net of Tax</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Litigation costs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Write-off of debt issuance costs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r>
              <w:rPr>
                <w:rFonts w:ascii="Arial" w:cs="Arial" w:eastAsia="Arial" w:hAnsi="Arial"/>
                <w:sz w:val="8"/>
                <w:szCs w:val="8"/>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8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520" w:type="dxa"/>
            <w:vAlign w:val="bottom"/>
            <w:tcBorders>
              <w:top w:val="single" w:sz="8" w:color="CCEEFF"/>
            </w:tcBorders>
          </w:tcPr>
          <w:p>
            <w:pPr>
              <w:spacing w:after="0" w:line="204" w:lineRule="exact"/>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4"/>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18" w:name="page19"/>
    <w:bookmarkEnd w:id="18"/>
    <w:p>
      <w:pPr>
        <w:ind w:left="80"/>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Comparison of the three months ended June 30, 2016 to the three months ended June 30, 2015</w:t>
      </w: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760" w:type="dxa"/>
            <w:vAlign w:val="bottom"/>
            <w:gridSpan w:val="3"/>
          </w:tcPr>
          <w:p>
            <w:pPr>
              <w:jc w:val="right"/>
              <w:ind w:right="725"/>
              <w:spacing w:after="0"/>
              <w:rPr>
                <w:sz w:val="20"/>
                <w:szCs w:val="20"/>
                <w:color w:val="auto"/>
              </w:rPr>
            </w:pPr>
            <w:r>
              <w:rPr>
                <w:rFonts w:ascii="Arial" w:cs="Arial" w:eastAsia="Arial" w:hAnsi="Arial"/>
                <w:sz w:val="18"/>
                <w:szCs w:val="18"/>
                <w:color w:val="auto"/>
              </w:rPr>
              <w:t>% of sales</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2015</w:t>
            </w:r>
          </w:p>
        </w:tc>
        <w:tc>
          <w:tcPr>
            <w:tcW w:w="16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75,706</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24,413</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67.8 %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55.8 %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42,855</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13.4 %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7,677</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(4,448)</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(3,187)</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5.9 %</w:t>
            </w:r>
          </w:p>
        </w:tc>
      </w:tr>
    </w:tbl>
    <w:p>
      <w:pPr>
        <w:spacing w:after="0" w:line="202" w:lineRule="exact"/>
        <w:rPr>
          <w:sz w:val="20"/>
          <w:szCs w:val="20"/>
          <w:color w:val="auto"/>
        </w:rPr>
      </w:pPr>
    </w:p>
    <w:p>
      <w:pPr>
        <w:ind w:left="80" w:right="60"/>
        <w:spacing w:after="0" w:line="286"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for the second quarter of 2016 increased $8.6 million, or 11.3%, over the second quarter of 2015. Comparable store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increased $6.2 million due to an increase in the volume of transactions, as well as an increase in the average transaction size. Net sales for the 9 new stores open less than twelve months were $2.4 million during the second quarter of 2016.</w:t>
      </w:r>
    </w:p>
    <w:p>
      <w:pPr>
        <w:spacing w:after="0" w:line="166" w:lineRule="exact"/>
        <w:rPr>
          <w:sz w:val="20"/>
          <w:szCs w:val="20"/>
          <w:color w:val="auto"/>
        </w:rPr>
      </w:pPr>
    </w:p>
    <w:p>
      <w:pPr>
        <w:ind w:left="80" w:right="500"/>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second quarter of 2016 increased $7.4 million, or 14.4%, compared to the second quarter of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increase in net sales. The gross margin rate increased from 67.8% for the second quarter of 2015 to 69.7% for the second quarter of 2016. The increase in the gross margin rate was primarily attributable to improved collection of customer delivery revenue, and a decrease in the level of discounting in 2016.</w:t>
      </w:r>
    </w:p>
    <w:p>
      <w:pPr>
        <w:spacing w:after="0" w:line="187" w:lineRule="exact"/>
        <w:rPr>
          <w:sz w:val="20"/>
          <w:szCs w:val="20"/>
          <w:color w:val="auto"/>
        </w:rPr>
      </w:pPr>
    </w:p>
    <w:p>
      <w:pPr>
        <w:ind w:left="80" w:right="20"/>
        <w:spacing w:after="0" w:line="271"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second quarter of 2016 increased $4.1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9.6%, compared to the second quarter of 2015. The increase in selling, general, and administrative expenses was primarily due to an increase in compensation and benefit costs of $2.0 million and occupancy costs of $0.5 million as a result of opening 9 new stores during the period from July 1, 2015 through June 30, 2016, and an increase in variable compensation associated with an 8.2% increase in comparable store sales for the second quarter of 2016. Selling, general, and administrative expenses as a percentage of net sales decreased to 55.8% for the second quarter of 2016 compared to 56.7% for the second quarter of 2015. The decrease in selling, general, and administrative expenses as a percentage of net sales was primarily due to a maturing store base that has higher net sales levels, which outpaced the growth of selling, general, and administrative expenses.</w:t>
      </w:r>
    </w:p>
    <w:p>
      <w:pPr>
        <w:spacing w:after="0" w:line="179" w:lineRule="exact"/>
        <w:rPr>
          <w:sz w:val="20"/>
          <w:szCs w:val="20"/>
          <w:color w:val="auto"/>
        </w:rPr>
      </w:pPr>
    </w:p>
    <w:p>
      <w:pPr>
        <w:ind w:left="80" w:right="580"/>
        <w:spacing w:after="0" w:line="277" w:lineRule="auto"/>
        <w:rPr>
          <w:sz w:val="20"/>
          <w:szCs w:val="20"/>
          <w:color w:val="auto"/>
        </w:rPr>
      </w:pPr>
      <w:r>
        <w:rPr>
          <w:rFonts w:ascii="Arial" w:cs="Arial" w:eastAsia="Arial" w:hAnsi="Arial"/>
          <w:sz w:val="18"/>
          <w:szCs w:val="18"/>
          <w:color w:val="auto"/>
        </w:rPr>
        <w:t>Selling, general, and administrative expenses include costs of $0.4 million and $0.3 million for the second quarter of 2016 and 2015, respectively, which relate to special charges consisting of litigation expenses.</w:t>
      </w:r>
    </w:p>
    <w:p>
      <w:pPr>
        <w:spacing w:after="0" w:line="170" w:lineRule="exact"/>
        <w:rPr>
          <w:sz w:val="20"/>
          <w:szCs w:val="20"/>
          <w:color w:val="auto"/>
        </w:rPr>
      </w:pPr>
    </w:p>
    <w:p>
      <w:pPr>
        <w:jc w:val="both"/>
        <w:ind w:left="80" w:right="20"/>
        <w:spacing w:after="0" w:line="312" w:lineRule="auto"/>
        <w:rPr>
          <w:sz w:val="20"/>
          <w:szCs w:val="20"/>
          <w:color w:val="auto"/>
        </w:rPr>
      </w:pPr>
      <w:r>
        <w:rPr>
          <w:rFonts w:ascii="Arial" w:cs="Arial" w:eastAsia="Arial" w:hAnsi="Arial"/>
          <w:sz w:val="16"/>
          <w:szCs w:val="16"/>
          <w:b w:val="1"/>
          <w:bCs w:val="1"/>
          <w:i w:val="1"/>
          <w:iCs w:val="1"/>
          <w:color w:val="auto"/>
        </w:rPr>
        <w:t xml:space="preserve">Pre-opening Costs </w:t>
      </w:r>
      <w:r>
        <w:rPr>
          <w:rFonts w:ascii="Arial" w:cs="Arial" w:eastAsia="Arial" w:hAnsi="Arial"/>
          <w:sz w:val="16"/>
          <w:szCs w:val="16"/>
          <w:color w:val="auto"/>
        </w:rPr>
        <w:t>Our pre-opening costs are those typically associated with the opening of a new store and generally include rent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costs and promotional costs. We expense pre-opening costs as incurred and include these costs in selling, general and administrative expenses. During the second quarter of 2016 and 2015, we incurred pre-opening costs of $0.2 million and $0.1 million, respectively.</w:t>
      </w:r>
    </w:p>
    <w:p>
      <w:pPr>
        <w:spacing w:after="0" w:line="147" w:lineRule="exact"/>
        <w:rPr>
          <w:sz w:val="20"/>
          <w:szCs w:val="20"/>
          <w:color w:val="auto"/>
        </w:rPr>
      </w:pPr>
    </w:p>
    <w:p>
      <w:pPr>
        <w:ind w:left="80" w:right="5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$0.3 million for the second quarter of 2016 compared to the second quarter of 2015.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is primarily due to the decrease in the debt balance over the last twelve months.</w:t>
      </w:r>
    </w:p>
    <w:p>
      <w:pPr>
        <w:spacing w:after="0" w:line="170" w:lineRule="exact"/>
        <w:rPr>
          <w:sz w:val="20"/>
          <w:szCs w:val="20"/>
          <w:color w:val="auto"/>
        </w:rPr>
      </w:pPr>
    </w:p>
    <w:p>
      <w:pPr>
        <w:ind w:left="80" w:right="140"/>
        <w:spacing w:after="0" w:line="31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provision increased $1.3 million for the second quarter of 2016 compared to the second quarter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due to higher income before income taxes in the second quarter of 2016. Our effective tax rate for the second quarter of 2016 and 2015 was 39.4% and 41.5%, respectively. The improvement in the three month effective tax rate is due to a decrease in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208280</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00"/>
          </w:cols>
          <w:pgMar w:left="820" w:top="121" w:right="8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non-deductible incentive stock-based compensation expense in 2016 combined with a reduction in the level of state tax rate changes that triggered unfavorable deferred tax adjustments in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six months ended June 30, 2016 to the six months ended June 30, 2015</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c>
          <w:tcPr>
            <w:tcW w:w="1760" w:type="dxa"/>
            <w:vAlign w:val="bottom"/>
            <w:gridSpan w:val="3"/>
          </w:tcPr>
          <w:p>
            <w:pPr>
              <w:jc w:val="right"/>
              <w:ind w:right="665"/>
              <w:spacing w:after="0"/>
              <w:rPr>
                <w:sz w:val="20"/>
                <w:szCs w:val="20"/>
                <w:color w:val="auto"/>
              </w:rPr>
            </w:pPr>
            <w:r>
              <w:rPr>
                <w:rFonts w:ascii="Arial" w:cs="Arial" w:eastAsia="Arial" w:hAnsi="Arial"/>
                <w:sz w:val="18"/>
                <w:szCs w:val="18"/>
                <w:color w:val="auto"/>
              </w:rPr>
              <w:t>% of sales</w:t>
            </w:r>
            <w:r>
              <w:rPr>
                <w:rFonts w:ascii="Arial" w:cs="Arial" w:eastAsia="Arial" w:hAnsi="Arial"/>
                <w:sz w:val="8"/>
                <w:szCs w:val="8"/>
                <w:color w:val="auto"/>
              </w:rPr>
              <w:t>(1)</w:t>
            </w: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2015</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168,984</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46,405</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118,404</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102,264</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68.8 %</w:t>
            </w:r>
          </w:p>
        </w:tc>
      </w:tr>
      <w:tr>
        <w:trPr>
          <w:trHeight w:val="23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94,939</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56.2 %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86,631</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58.3 %</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22,514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13.3 %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14,098</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9.5 %</w:t>
            </w: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(8,907)</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(5,949)</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5.5 %</w:t>
            </w:r>
          </w:p>
        </w:tc>
      </w:tr>
      <w:tr>
        <w:trPr>
          <w:trHeight w:val="216"/>
        </w:trPr>
        <w:tc>
          <w:tcPr>
            <w:tcW w:w="4000" w:type="dxa"/>
            <w:vAlign w:val="bottom"/>
          </w:tcPr>
          <w:p>
            <w:pPr>
              <w:ind w:left="2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six months ended June 30, 2016 increased $20.3 million, or 13.7%, over the six months ended June 30,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store sales increased $15.8 million during the six months ended June 30, 2016 due to an increase in the volume of transactions, as well as an increase in the average transaction size. Net sales for the 9 new stores open less than twelve months were $4.5 million during the six months ended June 30, 2016.</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six months ended June 30, 2016 increased $16.1 million, or 15.8%, compared to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primarily due to the increase in net sales. The gross margin rate increased from 68.8% for the six months ended June 30, 2015 to</w:t>
      </w:r>
    </w:p>
    <w:p>
      <w:pPr>
        <w:ind w:right="260"/>
        <w:spacing w:after="0" w:line="261" w:lineRule="auto"/>
        <w:rPr>
          <w:sz w:val="20"/>
          <w:szCs w:val="20"/>
          <w:color w:val="auto"/>
        </w:rPr>
      </w:pPr>
      <w:r>
        <w:rPr>
          <w:rFonts w:ascii="Arial" w:cs="Arial" w:eastAsia="Arial" w:hAnsi="Arial"/>
          <w:sz w:val="18"/>
          <w:szCs w:val="18"/>
          <w:color w:val="auto"/>
        </w:rPr>
        <w:t>70.1% for the six months ended June 30, 2016. The increase in the gross margin rate was primarily attributable to improved collection of customer delivery revenue, a decrease in the level of discounting, and inventory control process improvements.</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six months ended June 30,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$8.3 million, or 9.6%, compared to the six months ended June 30, 2015. The increase in selling, general, and administrative expenses was primarily due to an increase in compensation and benefit costs of $5.4 million and occupancy costs of $1.2 million as a result of opening 9 new stores during the period from July 1, 2015 through June 30, 2016, and an increase in variable compensation associated with a 10.6% increase in comparable store sales for the six months ended June 30, 2016. Selling, general, and administrative expenses as a percentage of net sales decreased to 56.2% for the six months ended June 30, 2016 compared to 58.3% for the six months ended June 30, 2015. The decrease in selling, general, and administrative expenses as a percentage of net sales was primarily due to a maturing store base that has higher net sales levels, which outpaced the growth of selling, general, and administrative expenses.</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Selling, general, and administrative expenses include costs of $1.1 million and $0.8 million for the six months ended June 30, 2016 and 2015, respectively, which relate to special charges consisting of litigation expenses.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Pre-opening Costs </w:t>
      </w:r>
      <w:r>
        <w:rPr>
          <w:rFonts w:ascii="Arial" w:cs="Arial" w:eastAsia="Arial" w:hAnsi="Arial"/>
          <w:sz w:val="17"/>
          <w:szCs w:val="17"/>
          <w:color w:val="auto"/>
        </w:rPr>
        <w:t>Our pre-opening costs are those typically associated with the opening of a new store and generally include rent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payroll costs and promotional costs. We expense pre-opening costs as incurred and include these costs in selling, general and admisix months ended June 30, 2016 and 2015, we incurred pre-opening costs of $0.4 million and $0.2 million, respectively.</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$0.6 million for the six months ended June 30, 2016 compared to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2015. The decrease is primarily due to the decrease in the debt balance in 2016.</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Income tax provision increased $3.0 million for the six months ended June 30, 2016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2015 due to higher income before income taxes in the six months ended June 30, 2016. Our effective tax rate for the six months ended June 30, 2016 and 2015 was 39.6% and 42.2%, respectively. The improvement in the six month effective tax rate is due to a decrease in non-deductible incentive stock-based compensation expense in 2016 combined with a reduction in the level of state tax rate changes that triggered unfavorable deferred tax adjustments in 2015.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principal uses of liquidity have been investments in working capital and capital expenditures. Our principal sources of liquidity are $13.4 million of cash and cash equivalents at June 30, 2016, our cash flow from operations, and borrowings available under our credit facility. We expect to use this liquidity for opening new stores, purchasing additional merchandise inventory, maintaining our existing stores, reducing outstanding debt, and general corporate purposes.</w:t>
      </w:r>
    </w:p>
    <w:p>
      <w:pPr>
        <w:spacing w:after="0" w:line="187"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On June 2, 2015, we and our operating subsidiary, The Tile Shop, LLC, entered into a credit agreement with Fifth Third Bank, Bank of America, N.A., and Huntington National Bank (the “Credit Agreement”).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June 30, 2016 the base interest rate was 4.00% and the LIBOR-based interest rate was</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1.97%. Borrowings outstanding $29.2 million on the term loan as of June 30, 2016. We can elect to prepay the term loan without incurring a penalty. The term loan requires quarterly principal payments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 to June 30, 2017</w:t>
            </w:r>
          </w:p>
        </w:tc>
        <w:tc>
          <w:tcPr>
            <w:tcW w:w="3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September 30, 2017 to June 30, 2018</w:t>
            </w: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 to March 31, 2020</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In addition, except with respect to pro rata payments made by The Tile Shop or other subsidiaries to Holdings or any other equity owner of such entity, the Credit Agreement prohibits the payments of cash dividends. We were in compliance with the covenants as of June 30, 2016.</w:t>
      </w:r>
    </w:p>
    <w:p>
      <w:pPr>
        <w:spacing w:after="0" w:line="16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expenditures paid in the six months ended June 30, 2016 were $11.7 million. Approximately $7.0 million was for new store build-out, remodels of existing stores, and merchandising projects, and approximately $3.0 million was for our information technology infrastructure. The remainder was for general corporate purposes.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intend to open an additional 6 to 8 stores and relocate 2 stores during 2016. Total capital expenditures are expected to be approximately $30 million in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three months ended June 30, 2016 and 2015.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(in thousands)</w:t>
            </w:r>
          </w:p>
        </w:tc>
      </w:tr>
      <w:tr>
        <w:trPr>
          <w:trHeight w:val="230"/>
        </w:trPr>
        <w:tc>
          <w:tcPr>
            <w:tcW w:w="39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color w:val="auto"/>
                <w:w w:val="91"/>
              </w:rPr>
              <w:t>Six Months Ended</w:t>
            </w:r>
          </w:p>
        </w:tc>
      </w:tr>
      <w:tr>
        <w:trPr>
          <w:trHeight w:val="230"/>
        </w:trPr>
        <w:tc>
          <w:tcPr>
            <w:tcW w:w="39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40,761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38,790</w:t>
            </w:r>
          </w:p>
        </w:tc>
        <w:tc>
          <w:tcPr>
            <w:tcW w:w="2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(11,703)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(7,588)</w:t>
            </w:r>
          </w:p>
        </w:tc>
        <w:tc>
          <w:tcPr>
            <w:tcW w:w="20" w:type="dxa"/>
            <w:vAlign w:val="bottom"/>
          </w:tcPr>
          <w:p>
            <w:pPr>
              <w:spacing w:after="0"/>
              <w:rPr>
                <w:sz w:val="19"/>
                <w:szCs w:val="19"/>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(25,974)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20" w:type="dxa"/>
            <w:vAlign w:val="bottom"/>
          </w:tcPr>
          <w:p>
            <w:pPr>
              <w:spacing w:after="0"/>
              <w:rPr>
                <w:sz w:val="19"/>
                <w:szCs w:val="19"/>
                <w:color w:val="auto"/>
              </w:rPr>
            </w:pPr>
          </w:p>
        </w:tc>
      </w:tr>
      <w:tr>
        <w:trPr>
          <w:trHeight w:val="648"/>
        </w:trPr>
        <w:tc>
          <w:tcPr>
            <w:tcW w:w="3960" w:type="dxa"/>
            <w:vAlign w:val="bottom"/>
          </w:tcPr>
          <w:p>
            <w:pPr>
              <w:spacing w:after="0"/>
              <w:rPr>
                <w:sz w:val="24"/>
                <w:szCs w:val="24"/>
                <w:color w:val="auto"/>
              </w:rPr>
            </w:pPr>
          </w:p>
        </w:tc>
        <w:tc>
          <w:tcPr>
            <w:tcW w:w="3540" w:type="dxa"/>
            <w:vAlign w:val="bottom"/>
          </w:tcPr>
          <w:p>
            <w:pPr>
              <w:jc w:val="right"/>
              <w:ind w:right="227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39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396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provided by operating activities during the six months ended June 30, 2016 was $40.8 million, compared to $38.8 million during the six months ended June 30, 2015. The increase is attributable to an increase in net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Net cash used in investing activities totaled $11.7 million for the six months ended June 30, 2016, compared to $7.6 million for the six months ended June 30, 2015. Net cash used in investing activities in each period was primarily for capital purchases of store fixtures, equipment, building improvements and leasehold improvements for stores opened or remodeled, asset additions in our distribution and manufacturing facilities, and general corporate information technology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financing activities was $26.0 million for the six months ended June 30, 2016, compared to $24.1 million for the six months ended June 30, 2015. Cash used in financing activities during the six months ended June 30, 2016 was primarily for payments of long-term debt and capital lease obligations of $26.3 million. At June 30, 2016, we were in compliance with our debt covenants. We intend to make principal payments due in future periods using cash from operations.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and cash equivalents totaled $13.4 million at June 30, 2016, versus $10.3 million at December 31, 2015. We have working capital of $39.3 million at June 30, 2016, compared to working capital of $47.5 million at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of June 30, 2016 and December 31, 2015,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there were no material changes to our contractual obligations outside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2014, the Financial Accounting Standards Board (FASB) issued a final standard on revenue from contracts with customers. The new standard sets forth a single comprehensive model for recognizing and reporting revenue. The new standard is effective in fiscal year 2018, and permits the use of either a retrospective or a cumulative effect transition method. We are currently assessing the impact of implementing the new guidance on our consolidated financial statements.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2014, the FASB issued a standard requiring an entity’s management to evaluate whether there is substantial doubt about an entity’s ability to continue as a going concern within one year after the date of the financial statements. The guidance also sets forth a series of disclosures that are required in the event the entity’s management concludes that there is substantial doubt about the entity’s ability to continue as a going concern. The new standard becomes effective in the annual financial statements for fiscal 2016 and requires an ongoing evaluation at each interim and annual period thereafter. We are currently assessing the effect the new standard will have on our consolidated financial statements.</w:t>
      </w:r>
    </w:p>
    <w:p>
      <w:pPr>
        <w:spacing w:after="0" w:line="19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April 2015, the FASB issued a standard that requires debt issuance costs related to a recognized debt liability be presented in the balance sheet as a direct deduction from the carrying amount of that debt liability. We adopted the provisions of this statement in the first quarter of 2016 and prior periods have been retrospectively adjusted (see “Note 1 to the Consolidated Financial Statements”).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February 2015, the FASB issued a new accounting standard that will modify current consolidation guidance. The standard makes changes to both the variable interest entity model and the voting interest entity model, including modifying the evaluation of whether limited partnerships or similar legal entities are VIEs or voting interest entities and amending the guidance for assessing how relationships of related parties affect the consolidation analysis of VIEs. The standard was effective as of the beginning of fiscal year 2016. The adoption of this new standard did not have a material effect on our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July 2015, the FASB issued a standard which simplifies the subsequent measurement of inventory. Currently, an entity is required to measure inventory at the lower of cost or market, whereby market can be replacement cost, net realizable value, or net realizable value less an approximately normal profit margin. The changes require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Currently, we apply the net realizable value market option to measure inventories at the lower of cost or market. These changes become effective in fiscal 2017. We are currently assessing the effect the new standard will have on our consolidated financial statements.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February 2016, the FASB issued a standard that primarily requires organizations that lease assets to recognize the rights and obligations created by those leases on the balance sheet. The standard is effective in 2019, with early adoption permitted. We are currently assessing the effect the new standard will have on our consolidated financial statements.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March 2016, the FASB issued a standard that changes the accounting for certain aspects of share-based payments to employees. The guidance requires the recognition of the income tax effects of awards in the income statement when the awards vest or are settled, thus eliminating additional paid-in capital tax pools. The guidance also allows for the employer to repurchase more of an employee’s shares for tax withholding purposes without triggering liability accounting. In addition, the guidance allows for a policy election to account for forfeitures as they occur rather than on an estimated basis. The guidance is effective in 2017 with early adoption permitted. We are currently assessing the effect the new standard will have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Form 10-K for the fiscal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June 30, 2016 and have concluded that such disclosure controls and procedures were effective as of the end of the period covered by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changes to our internal control over financial reporting occurred during the quarter ended June 30, 2016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two of its former executive officers, five of its outside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then consolidated. The plaintiffs are three investors who represent a class or classes consisting of (1) all purchasers of Tile Shop common stock between August 22, 2012 and January 28, 2014 (the “alleged class period”), seeking to pursue remedies under the Securities Exchange Act of 1934; and (2) all purchasers of Tile Shop common stock pursuant and/or traceable to the Company’s December 2012 registration statements, seeking to pursue remedies under the Securities Act of 1933. Six firms who were underwriters in the December 2012 secondary public offering are also named as defendants. In their consolidated amended complaint (the “complaint”), the plaintiffs allege that during the alleged class period, certain defendants made false or misleading statements of material fact in press releases and SEC filings about the Company’s relationships with its vendors, its gross margins, and its supply chain and producer relationships, and that defendants failed to disclose certain related party transactions. The complaint asserts claims under Sections 11, 12(a)(2), and 15 of the Securities Act of 1933, and under Sections 10(b) and 20(a) of the Securities Exchange Act of 1934. In addition to attorney’s fees and costs, the plaintiffs seek to recover damages on behalf of the members of the purported classes. The defendants are vigorously defending the matter. The parties now are providing expert reports and conducting expert discovery.</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also is a Defendant in a consolidated action brought derivatively on behalf of the Company by two shareholders of the Company. One action was first filed in the United States District Court for the District of Minnesota, and then voluntarily dismissed and re-filed in the Court of Chancery for the State of Delaware (“Delaware Chancery Court”). The second action was filed in Delaware Chancery Court. The two actions have since been consolidated by the Delaware Chancery Court under the caption In re Tile Shop Holdings, Inc. Stockholder Derivative Litigation. On July 31, 2015, the plaintiff-shareholders filed their Verified Consolidated Stockholder Derivative Complaint (“complaint”). The complaint names as defendants six members of the Company’s Board of Directors, and a former employee of the Company. The complaint tracks many of the same factual allegations as have been made in the above-described federal securities class action. It alleges that the defendant-directors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 also alleges claims for insider trading and unjust enrichment. The complaint seeks damages, disgorgement, an award of attorneys’ fees and other expenses, and an order compelling changes to the Company’s corporate governance and internal procedures. On November 2, 2015, defendants filed a motion to dismiss the derivative action, or in the alternative, to stay it pending resolution of the Beaver County Employees’ Retirement Fund action described above. Subsequently, the parties entered into a stipulation, and the Court entered an Order, staying the derivative action until resolution of the Beaver County Employees’ Retirement Fund action described above, or until a mutually agreeable resolution of the derivative action.</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By letter dated May 19, 2016, a shareholder of the Company demanded that the Board of Directors investigate alleged breaches of fiduciary duty related to the same matters as alleged in the Verified Consolidated Stock holder Derivative Complaint, and take action against certain present and former officers and directors of the Company. The Board has not yet responded to the shareholder demand letter.</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Given the uncertainty of litigation and the preliminary stage of these cases, the Company cannot reasonably estimate the possible loss or range of loss that may result from these actions.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0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3.1</w:t>
            </w:r>
          </w:p>
        </w:tc>
        <w:tc>
          <w:tcPr>
            <w:tcW w:w="800" w:type="dxa"/>
            <w:vAlign w:val="bottom"/>
            <w:shd w:val="clear" w:color="auto" w:fill="CCEEFF"/>
          </w:tcPr>
          <w:p>
            <w:pPr>
              <w:spacing w:after="0"/>
              <w:rPr>
                <w:sz w:val="17"/>
                <w:szCs w:val="17"/>
                <w:color w:val="auto"/>
              </w:rPr>
            </w:pPr>
          </w:p>
        </w:tc>
        <w:tc>
          <w:tcPr>
            <w:tcW w:w="9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Certificate of Incorporation of Tile Shop Holdings, Inc. (incorporated by reference to Exhibit 3.1 to the Company’s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Statement on Form S-4 filed with the Securities and Exchange Commission on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w w:val="79"/>
              </w:rPr>
              <w:t>3.2</w:t>
            </w:r>
          </w:p>
        </w:tc>
        <w:tc>
          <w:tcPr>
            <w:tcW w:w="800" w:type="dxa"/>
            <w:vAlign w:val="bottom"/>
          </w:tcPr>
          <w:p>
            <w:pPr>
              <w:spacing w:after="0"/>
              <w:rPr>
                <w:sz w:val="17"/>
                <w:szCs w:val="17"/>
                <w:color w:val="auto"/>
              </w:rPr>
            </w:pPr>
          </w:p>
        </w:tc>
        <w:tc>
          <w:tcPr>
            <w:tcW w:w="9080" w:type="dxa"/>
            <w:vAlign w:val="bottom"/>
            <w:gridSpan w:val="2"/>
          </w:tcPr>
          <w:p>
            <w:pPr>
              <w:spacing w:after="0" w:line="201" w:lineRule="exact"/>
              <w:rPr>
                <w:sz w:val="20"/>
                <w:szCs w:val="20"/>
                <w:color w:val="auto"/>
              </w:rPr>
            </w:pPr>
            <w:r>
              <w:rPr>
                <w:rFonts w:ascii="Arial" w:cs="Arial" w:eastAsia="Arial" w:hAnsi="Arial"/>
                <w:sz w:val="18"/>
                <w:szCs w:val="18"/>
                <w:color w:val="auto"/>
                <w:w w:val="93"/>
              </w:rPr>
              <w:t>By-Laws of Tile Shop Holdings, Inc. (incorporated by reference to Exhibit 3.2 to the Company’s Registration Statement 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Form S-4 filed with the Securities and Exchange Commission on July 2,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02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908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32.1**</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Certifications of Chief Executive Officer Pursuant to Section 906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9080" w:type="dxa"/>
            <w:vAlign w:val="bottom"/>
            <w:gridSpan w:val="2"/>
          </w:tcPr>
          <w:p>
            <w:pPr>
              <w:spacing w:after="0"/>
              <w:rPr>
                <w:sz w:val="20"/>
                <w:szCs w:val="20"/>
                <w:color w:val="auto"/>
              </w:rPr>
            </w:pPr>
            <w:r>
              <w:rPr>
                <w:rFonts w:ascii="Arial" w:cs="Arial" w:eastAsia="Arial" w:hAnsi="Arial"/>
                <w:sz w:val="18"/>
                <w:szCs w:val="18"/>
                <w:color w:val="auto"/>
              </w:rPr>
              <w:t>Certifications of Chief Financial Officer Pursuant to Section 906 of the Sarbanes 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0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0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0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880" w:type="dxa"/>
            <w:vAlign w:val="bottom"/>
            <w:gridSpan w:val="3"/>
          </w:tcPr>
          <w:p>
            <w:pPr>
              <w:ind w:left="20"/>
              <w:spacing w:after="0"/>
              <w:rPr>
                <w:sz w:val="20"/>
                <w:szCs w:val="20"/>
                <w:color w:val="auto"/>
              </w:rPr>
            </w:pPr>
            <w:r>
              <w:rPr>
                <w:rFonts w:ascii="Arial" w:cs="Arial" w:eastAsia="Arial" w:hAnsi="Arial"/>
                <w:sz w:val="18"/>
                <w:szCs w:val="18"/>
                <w:color w:val="auto"/>
              </w:rPr>
              <w:t>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880" w:type="dxa"/>
            <w:vAlign w:val="bottom"/>
            <w:gridSpan w:val="3"/>
          </w:tcPr>
          <w:p>
            <w:pPr>
              <w:ind w:left="20"/>
              <w:spacing w:after="0"/>
              <w:rPr>
                <w:sz w:val="20"/>
                <w:szCs w:val="20"/>
                <w:color w:val="auto"/>
              </w:rPr>
            </w:pPr>
            <w:r>
              <w:rPr>
                <w:rFonts w:ascii="Arial" w:cs="Arial" w:eastAsia="Arial" w:hAnsi="Arial"/>
                <w:sz w:val="18"/>
                <w:szCs w:val="18"/>
                <w:color w:val="auto"/>
              </w:rPr>
              <w:t>Furnished herewith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80" w:type="dxa"/>
            <w:vAlign w:val="bottom"/>
            <w:gridSpan w:val="2"/>
          </w:tcPr>
          <w:p>
            <w:pPr>
              <w:ind w:left="39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Arial" w:cs="Arial" w:eastAsia="Arial" w:hAnsi="Arial"/>
                <w:sz w:val="18"/>
                <w:szCs w:val="18"/>
                <w:b w:val="1"/>
                <w:bCs w:val="1"/>
                <w:color w:val="auto"/>
              </w:rPr>
              <w:t>TILE SHOP HOLDINGS, INC.</w:t>
            </w:r>
          </w:p>
        </w:tc>
        <w:tc>
          <w:tcPr>
            <w:tcW w:w="124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Dated: August 5, 2016</w:t>
            </w:r>
          </w:p>
        </w:tc>
        <w:tc>
          <w:tcPr>
            <w:tcW w:w="5600" w:type="dxa"/>
            <w:vAlign w:val="bottom"/>
            <w:gridSpan w:val="2"/>
          </w:tcPr>
          <w:p>
            <w:pPr>
              <w:ind w:left="1760"/>
              <w:spacing w:after="0"/>
              <w:rPr>
                <w:sz w:val="20"/>
                <w:szCs w:val="20"/>
                <w:color w:val="auto"/>
              </w:rPr>
            </w:pPr>
            <w:r>
              <w:rPr>
                <w:rFonts w:ascii="Arial" w:cs="Arial" w:eastAsia="Arial" w:hAnsi="Arial"/>
                <w:sz w:val="18"/>
                <w:szCs w:val="18"/>
                <w:color w:val="auto"/>
              </w:rPr>
              <w:t>By: /s/ CHRIS R. HOMEISTER</w:t>
            </w:r>
          </w:p>
        </w:tc>
        <w:tc>
          <w:tcPr>
            <w:tcW w:w="124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Chris R. Homeister</w:t>
            </w:r>
          </w:p>
        </w:tc>
        <w:tc>
          <w:tcPr>
            <w:tcW w:w="124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20"/>
                <w:szCs w:val="20"/>
                <w:color w:val="auto"/>
              </w:rPr>
            </w:pPr>
          </w:p>
        </w:tc>
      </w:tr>
      <w:tr>
        <w:trPr>
          <w:trHeight w:val="662"/>
        </w:trPr>
        <w:tc>
          <w:tcPr>
            <w:tcW w:w="3300" w:type="dxa"/>
            <w:vAlign w:val="bottom"/>
          </w:tcPr>
          <w:p>
            <w:pPr>
              <w:spacing w:after="0"/>
              <w:rPr>
                <w:sz w:val="20"/>
                <w:szCs w:val="20"/>
                <w:color w:val="auto"/>
              </w:rPr>
            </w:pPr>
            <w:r>
              <w:rPr>
                <w:rFonts w:ascii="Arial" w:cs="Arial" w:eastAsia="Arial" w:hAnsi="Arial"/>
                <w:sz w:val="18"/>
                <w:szCs w:val="18"/>
                <w:color w:val="auto"/>
              </w:rPr>
              <w:t>Dated: August 5, 2016</w:t>
            </w:r>
          </w:p>
        </w:tc>
        <w:tc>
          <w:tcPr>
            <w:tcW w:w="5600" w:type="dxa"/>
            <w:vAlign w:val="bottom"/>
            <w:gridSpan w:val="2"/>
          </w:tcPr>
          <w:p>
            <w:pPr>
              <w:ind w:left="1760"/>
              <w:spacing w:after="0"/>
              <w:rPr>
                <w:sz w:val="20"/>
                <w:szCs w:val="20"/>
                <w:color w:val="auto"/>
              </w:rPr>
            </w:pPr>
            <w:r>
              <w:rPr>
                <w:rFonts w:ascii="Arial" w:cs="Arial" w:eastAsia="Arial" w:hAnsi="Arial"/>
                <w:sz w:val="18"/>
                <w:szCs w:val="18"/>
                <w:color w:val="auto"/>
              </w:rPr>
              <w:t>By: /s/ KIRK L. GEADELMANN</w:t>
            </w:r>
          </w:p>
        </w:tc>
        <w:tc>
          <w:tcPr>
            <w:tcW w:w="1240" w:type="dxa"/>
            <w:vAlign w:val="bottom"/>
          </w:tcPr>
          <w:p>
            <w:pPr>
              <w:spacing w:after="0"/>
              <w:rPr>
                <w:sz w:val="24"/>
                <w:szCs w:val="24"/>
                <w:color w:val="auto"/>
              </w:rPr>
            </w:pPr>
          </w:p>
        </w:tc>
      </w:tr>
      <w:tr>
        <w:trPr>
          <w:trHeight w:val="195"/>
        </w:trPr>
        <w:tc>
          <w:tcPr>
            <w:tcW w:w="3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5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Kirk L. Geadelmann</w:t>
            </w:r>
          </w:p>
        </w:tc>
        <w:tc>
          <w:tcPr>
            <w:tcW w:w="124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spacing w:after="0"/>
              <w:rPr>
                <w:sz w:val="20"/>
                <w:szCs w:val="20"/>
                <w:color w:val="auto"/>
              </w:rPr>
            </w:pPr>
          </w:p>
        </w:tc>
      </w:tr>
      <w:tr>
        <w:trPr>
          <w:trHeight w:val="864"/>
        </w:trPr>
        <w:tc>
          <w:tcPr>
            <w:tcW w:w="3300" w:type="dxa"/>
            <w:vAlign w:val="bottom"/>
          </w:tcPr>
          <w:p>
            <w:pPr>
              <w:spacing w:after="0"/>
              <w:rPr>
                <w:sz w:val="24"/>
                <w:szCs w:val="24"/>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3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33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r>
        <w:trPr>
          <w:trHeight w:val="20"/>
        </w:trPr>
        <w:tc>
          <w:tcPr>
            <w:tcW w:w="330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35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00" w:type="dxa"/>
            <w:vAlign w:val="bottom"/>
          </w:tcPr>
          <w:p>
            <w:pPr>
              <w:jc w:val="center"/>
              <w:ind w:right="1730"/>
              <w:spacing w:after="0"/>
              <w:rPr>
                <w:sz w:val="20"/>
                <w:szCs w:val="20"/>
                <w:color w:val="auto"/>
              </w:rPr>
            </w:pPr>
            <w:r>
              <w:rPr>
                <w:rFonts w:ascii="Arial" w:cs="Arial" w:eastAsia="Arial" w:hAnsi="Arial"/>
                <w:sz w:val="18"/>
                <w:szCs w:val="18"/>
                <w:b w:val="1"/>
                <w:bCs w:val="1"/>
                <w:color w:val="auto"/>
              </w:rPr>
              <w:t>TILE SHOP HOLDINGS, INC.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300" w:type="dxa"/>
            <w:vAlign w:val="bottom"/>
          </w:tcPr>
          <w:p>
            <w:pPr>
              <w:jc w:val="center"/>
              <w:ind w:right="173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28"/>
        </w:trPr>
        <w:tc>
          <w:tcPr>
            <w:tcW w:w="9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1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vMerge w:val="restart"/>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9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Certificate of Incorporation of Tile Shop Holdings, Inc. (incorporated by reference to Exhibit 3.1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Statement on 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rPr>
              <w:t>3.2</w:t>
            </w:r>
          </w:p>
        </w:tc>
        <w:tc>
          <w:tcPr>
            <w:tcW w:w="9140" w:type="dxa"/>
            <w:vAlign w:val="bottom"/>
            <w:gridSpan w:val="2"/>
          </w:tcPr>
          <w:p>
            <w:pPr>
              <w:spacing w:after="0" w:line="201" w:lineRule="exact"/>
              <w:rPr>
                <w:sz w:val="20"/>
                <w:szCs w:val="20"/>
                <w:color w:val="auto"/>
              </w:rPr>
            </w:pPr>
            <w:r>
              <w:rPr>
                <w:rFonts w:ascii="Arial" w:cs="Arial" w:eastAsia="Arial" w:hAnsi="Arial"/>
                <w:sz w:val="18"/>
                <w:szCs w:val="18"/>
                <w:color w:val="auto"/>
                <w:w w:val="94"/>
              </w:rPr>
              <w:t>By-Laws of Tile Shop Holdings, Inc. (incorporated by reference to Exhibit 3.2 to the Company’s Registration Statement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91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Certifications of Chief Executive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9140" w:type="dxa"/>
            <w:vAlign w:val="bottom"/>
            <w:gridSpan w:val="2"/>
          </w:tcPr>
          <w:p>
            <w:pPr>
              <w:spacing w:after="0"/>
              <w:rPr>
                <w:sz w:val="20"/>
                <w:szCs w:val="20"/>
                <w:color w:val="auto"/>
              </w:rPr>
            </w:pPr>
            <w:r>
              <w:rPr>
                <w:rFonts w:ascii="Arial" w:cs="Arial" w:eastAsia="Arial" w:hAnsi="Arial"/>
                <w:sz w:val="18"/>
                <w:szCs w:val="18"/>
                <w:color w:val="auto"/>
              </w:rPr>
              <w:t>Certifications of Chief Financial Officer Pursuant to Section 906 of the Sarbanes Oxley Act of 2002.</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91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91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91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27" w:name="page28"/>
    <w:bookmarkEnd w:id="27"/>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Chris R. Homeister, certify that: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ind w:left="240" w:right="199"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240" w:right="139" w:hanging="134"/>
        <w:spacing w:after="0" w:line="23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1" w:lineRule="exact"/>
        <w:rPr>
          <w:sz w:val="20"/>
          <w:szCs w:val="20"/>
          <w:color w:val="auto"/>
        </w:rPr>
      </w:pPr>
    </w:p>
    <w:p>
      <w:pPr>
        <w:ind w:left="580" w:right="479" w:hanging="148"/>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sz w:val="20"/>
          <w:szCs w:val="20"/>
          <w:color w:val="auto"/>
        </w:rPr>
      </w:pPr>
    </w:p>
    <w:p>
      <w:pPr>
        <w:jc w:val="both"/>
        <w:ind w:left="600" w:right="179" w:hanging="161"/>
        <w:spacing w:after="0" w:line="21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580" w:right="319" w:hanging="148"/>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sz w:val="20"/>
          <w:szCs w:val="20"/>
          <w:color w:val="auto"/>
        </w:rPr>
      </w:pPr>
    </w:p>
    <w:p>
      <w:pPr>
        <w:ind w:left="600" w:right="199" w:hanging="161"/>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left="240" w:right="439"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580" w:right="259" w:hanging="148"/>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sz w:val="20"/>
          <w:szCs w:val="20"/>
          <w:color w:val="auto"/>
        </w:rPr>
      </w:pPr>
    </w:p>
    <w:p>
      <w:pPr>
        <w:ind w:left="600" w:right="339" w:hanging="161"/>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5, 2016</w:t>
      </w:r>
    </w:p>
    <w:p>
      <w:pPr>
        <w:ind w:left="4800"/>
        <w:spacing w:after="0" w:line="219" w:lineRule="auto"/>
        <w:rPr>
          <w:sz w:val="20"/>
          <w:szCs w:val="20"/>
          <w:color w:val="auto"/>
        </w:rPr>
      </w:pPr>
      <w:r>
        <w:rPr>
          <w:rFonts w:ascii="Arial" w:cs="Arial" w:eastAsia="Arial" w:hAnsi="Arial"/>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Chris R. Homeister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Kirk L. Geadelmann, certify that: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sz w:val="20"/>
          <w:szCs w:val="20"/>
          <w:color w:val="auto"/>
        </w:rPr>
      </w:pPr>
    </w:p>
    <w:p>
      <w:pPr>
        <w:ind w:left="240" w:right="199"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sz w:val="20"/>
          <w:szCs w:val="20"/>
          <w:color w:val="auto"/>
        </w:rPr>
      </w:pPr>
    </w:p>
    <w:p>
      <w:pPr>
        <w:ind w:left="240" w:right="139" w:hanging="134"/>
        <w:spacing w:after="0" w:line="23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1" w:lineRule="exact"/>
        <w:rPr>
          <w:sz w:val="20"/>
          <w:szCs w:val="20"/>
          <w:color w:val="auto"/>
        </w:rPr>
      </w:pPr>
    </w:p>
    <w:p>
      <w:pPr>
        <w:ind w:left="580" w:right="479" w:hanging="148"/>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sz w:val="20"/>
          <w:szCs w:val="20"/>
          <w:color w:val="auto"/>
        </w:rPr>
      </w:pPr>
    </w:p>
    <w:p>
      <w:pPr>
        <w:jc w:val="both"/>
        <w:ind w:left="600" w:right="179" w:hanging="161"/>
        <w:spacing w:after="0" w:line="21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580" w:right="319" w:hanging="148"/>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sz w:val="20"/>
          <w:szCs w:val="20"/>
          <w:color w:val="auto"/>
        </w:rPr>
      </w:pPr>
    </w:p>
    <w:p>
      <w:pPr>
        <w:ind w:left="600" w:right="199" w:hanging="161"/>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left="240" w:right="439"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580" w:right="259" w:hanging="148"/>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sz w:val="20"/>
          <w:szCs w:val="20"/>
          <w:color w:val="auto"/>
        </w:rPr>
      </w:pPr>
    </w:p>
    <w:p>
      <w:pPr>
        <w:ind w:left="600" w:right="339" w:hanging="161"/>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August 5, 2016</w:t>
      </w:r>
    </w:p>
    <w:p>
      <w:pPr>
        <w:ind w:left="4800"/>
        <w:spacing w:after="0" w:line="219" w:lineRule="auto"/>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Arial" w:cs="Arial" w:eastAsia="Arial" w:hAnsi="Arial"/>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2016 as filed with the Securities and Exchange Commission on the date hereof (the “Report”), I, Chris R. Homeister, Chief Executive Officer of the Company, certify, pursuant to 18 U.S.C. Section 1350, as adopted pursuant to Section 906 of the Sarbanes-Oxley Act of 2002, that:</w:t>
      </w:r>
    </w:p>
    <w:p>
      <w:pPr>
        <w:spacing w:after="0" w:line="298" w:lineRule="exact"/>
        <w:rPr>
          <w:sz w:val="20"/>
          <w:szCs w:val="20"/>
          <w:color w:val="auto"/>
        </w:rPr>
      </w:pPr>
    </w:p>
    <w:p>
      <w:pPr>
        <w:ind w:left="760" w:right="459" w:hanging="331"/>
        <w:spacing w:after="0" w:line="23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Chris R. Homeister</w:t>
      </w:r>
    </w:p>
    <w:p>
      <w:pPr>
        <w:ind w:left="30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5, 2016</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195580</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00" w:right="99"/>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3" w:lineRule="exact"/>
        <w:rPr>
          <w:sz w:val="20"/>
          <w:szCs w:val="20"/>
          <w:color w:val="auto"/>
        </w:rPr>
      </w:pPr>
    </w:p>
    <w:p>
      <w:pPr>
        <w:ind w:left="100" w:right="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2016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right="459" w:hanging="331"/>
        <w:spacing w:after="0" w:line="23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760" w:right="559" w:hanging="331"/>
        <w:spacing w:after="0" w:line="23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-635</wp:posOffset>
            </wp:positionV>
            <wp:extent cx="19640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3" w:lineRule="auto"/>
        <w:rPr>
          <w:sz w:val="20"/>
          <w:szCs w:val="20"/>
          <w:color w:val="auto"/>
        </w:rPr>
      </w:pPr>
      <w:r>
        <w:rPr>
          <w:rFonts w:ascii="Arial" w:cs="Arial" w:eastAsia="Arial" w:hAnsi="Arial"/>
          <w:sz w:val="18"/>
          <w:szCs w:val="18"/>
          <w:color w:val="auto"/>
        </w:rPr>
        <w:t>Kirk L. Geadelmann</w:t>
      </w:r>
    </w:p>
    <w:p>
      <w:pPr>
        <w:ind w:left="30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5, 2016</w:t>
      </w:r>
    </w:p>
    <w:p>
      <w:pPr>
        <w:spacing w:after="0" w:line="320" w:lineRule="exact"/>
        <w:rPr>
          <w:sz w:val="20"/>
          <w:szCs w:val="20"/>
          <w:color w:val="auto"/>
        </w:rPr>
      </w:pPr>
    </w:p>
    <w:p>
      <w:pPr>
        <w:ind w:left="100" w:right="71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306705</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2019-12-29T10:07:04Z</dcterms:created>
  <dcterms:modified xsi:type="dcterms:W3CDTF">2019-12-29T10:07:04Z</dcterms:modified>
</cp:coreProperties>
</file>