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3093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246380</wp:posOffset>
            </wp:positionV>
            <wp:extent cx="630936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9360" cy="2603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UNITED STATES</w:t>
      </w:r>
    </w:p>
    <w:p>
      <w:pPr>
        <w:jc w:val="center"/>
        <w:ind w:right="-23"/>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23"/>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4"/>
          <w:szCs w:val="24"/>
          <w:color w:val="auto"/>
        </w:rPr>
      </w:pPr>
    </w:p>
    <w:p>
      <w:pPr>
        <w:ind w:left="3244" w:right="3000" w:hanging="3244"/>
        <w:spacing w:after="0" w:line="241" w:lineRule="auto"/>
        <w:tabs>
          <w:tab w:leader="none" w:pos="3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jc w:val="center"/>
        <w:ind w:right="-23"/>
        <w:spacing w:after="0" w:line="197" w:lineRule="auto"/>
        <w:rPr>
          <w:sz w:val="20"/>
          <w:szCs w:val="20"/>
          <w:color w:val="auto"/>
        </w:rPr>
      </w:pPr>
      <w:r>
        <w:rPr>
          <w:rFonts w:ascii="Arial" w:cs="Arial" w:eastAsia="Arial" w:hAnsi="Arial"/>
          <w:sz w:val="18"/>
          <w:szCs w:val="18"/>
          <w:b w:val="1"/>
          <w:bCs w:val="1"/>
          <w:color w:val="auto"/>
        </w:rPr>
        <w:t>or</w:t>
      </w:r>
    </w:p>
    <w:p>
      <w:pPr>
        <w:ind w:left="3704" w:right="2780" w:hanging="3704"/>
        <w:spacing w:after="0" w:line="243" w:lineRule="auto"/>
        <w:tabs>
          <w:tab w:leader="none" w:pos="383"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ind w:left="3544"/>
        <w:spacing w:after="0"/>
        <w:rPr>
          <w:sz w:val="20"/>
          <w:szCs w:val="20"/>
          <w:color w:val="auto"/>
        </w:rPr>
      </w:pPr>
      <w:r>
        <w:rPr>
          <w:rFonts w:ascii="Arial" w:cs="Arial" w:eastAsia="Arial" w:hAnsi="Arial"/>
          <w:sz w:val="18"/>
          <w:szCs w:val="18"/>
          <w:b w:val="1"/>
          <w:bCs w:val="1"/>
          <w:color w:val="auto"/>
        </w:rPr>
        <w:t>Commission File Number: 001-35629</w:t>
      </w:r>
    </w:p>
    <w:p>
      <w:pPr>
        <w:spacing w:after="0" w:line="6" w:lineRule="exact"/>
        <w:rPr>
          <w:sz w:val="24"/>
          <w:szCs w:val="24"/>
          <w:color w:val="auto"/>
        </w:rPr>
      </w:pPr>
    </w:p>
    <w:p>
      <w:pPr>
        <w:ind w:left="3744"/>
        <w:spacing w:after="0"/>
        <w:rPr>
          <w:sz w:val="20"/>
          <w:szCs w:val="20"/>
          <w:color w:val="auto"/>
        </w:rPr>
      </w:pPr>
      <w:r>
        <w:rPr>
          <w:rFonts w:ascii="Arial" w:cs="Arial" w:eastAsia="Arial" w:hAnsi="Arial"/>
          <w:sz w:val="18"/>
          <w:szCs w:val="18"/>
          <w:b w:val="1"/>
          <w:bCs w:val="1"/>
          <w:color w:val="auto"/>
        </w:rPr>
        <w:t>TILE SHOP HOLDINGS, INC.</w:t>
      </w:r>
    </w:p>
    <w:p>
      <w:pPr>
        <w:jc w:val="center"/>
        <w:ind w:right="-23"/>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04"/>
          </w:cols>
          <w:pgMar w:left="976" w:top="220" w:right="1019" w:bottom="1440" w:gutter="0" w:footer="0" w:header="0"/>
        </w:sectPr>
      </w:pPr>
    </w:p>
    <w:p>
      <w:pPr>
        <w:spacing w:after="0" w:line="126" w:lineRule="exact"/>
        <w:rPr>
          <w:sz w:val="24"/>
          <w:szCs w:val="24"/>
          <w:color w:val="auto"/>
        </w:rPr>
      </w:pPr>
    </w:p>
    <w:p>
      <w:pPr>
        <w:jc w:val="center"/>
        <w:ind w:right="456"/>
        <w:spacing w:after="0"/>
        <w:rPr>
          <w:sz w:val="20"/>
          <w:szCs w:val="20"/>
          <w:color w:val="auto"/>
        </w:rPr>
      </w:pPr>
      <w:r>
        <w:rPr>
          <w:rFonts w:ascii="Arial" w:cs="Arial" w:eastAsia="Arial" w:hAnsi="Arial"/>
          <w:sz w:val="18"/>
          <w:szCs w:val="18"/>
          <w:b w:val="1"/>
          <w:bCs w:val="1"/>
          <w:color w:val="auto"/>
        </w:rPr>
        <w:t>Delaware</w:t>
      </w:r>
    </w:p>
    <w:p>
      <w:pPr>
        <w:jc w:val="center"/>
        <w:ind w:right="456"/>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45-5538095</w:t>
      </w: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4" w:lineRule="exact"/>
        <w:rPr>
          <w:sz w:val="24"/>
          <w:szCs w:val="24"/>
          <w:color w:val="auto"/>
        </w:rPr>
      </w:pPr>
    </w:p>
    <w:p>
      <w:pPr>
        <w:sectPr>
          <w:pgSz w:w="11900" w:h="16838" w:orient="portrait"/>
          <w:cols w:equalWidth="0" w:num="2">
            <w:col w:w="5424" w:space="720"/>
            <w:col w:w="3760"/>
          </w:cols>
          <w:pgMar w:left="976" w:top="220" w:right="1019" w:bottom="1440" w:gutter="0" w:footer="0" w:header="0"/>
          <w:type w:val="continuous"/>
        </w:sectPr>
      </w:pPr>
    </w:p>
    <w:p>
      <w:pPr>
        <w:ind w:left="2944"/>
        <w:spacing w:after="0"/>
        <w:rPr>
          <w:sz w:val="20"/>
          <w:szCs w:val="20"/>
          <w:color w:val="auto"/>
        </w:rPr>
      </w:pPr>
      <w:r>
        <w:rPr>
          <w:rFonts w:ascii="Arial" w:cs="Arial" w:eastAsia="Arial" w:hAnsi="Arial"/>
          <w:sz w:val="17"/>
          <w:szCs w:val="17"/>
          <w:b w:val="1"/>
          <w:bCs w:val="1"/>
          <w:color w:val="auto"/>
        </w:rPr>
        <w:t>14000 Carlson Parkway, Plymouth, Minnesota 55441</w:t>
      </w:r>
    </w:p>
    <w:p>
      <w:pPr>
        <w:ind w:left="2824"/>
        <w:spacing w:after="0" w:line="228" w:lineRule="auto"/>
        <w:rPr>
          <w:sz w:val="20"/>
          <w:szCs w:val="20"/>
          <w:color w:val="auto"/>
        </w:rPr>
      </w:pPr>
      <w:r>
        <w:rPr>
          <w:rFonts w:ascii="Arial" w:cs="Arial" w:eastAsia="Arial" w:hAnsi="Arial"/>
          <w:sz w:val="16"/>
          <w:szCs w:val="16"/>
          <w:color w:val="auto"/>
        </w:rPr>
        <w:t>(Address of principal executive offices, including zip code)</w:t>
      </w:r>
    </w:p>
    <w:p>
      <w:pPr>
        <w:ind w:left="4404"/>
        <w:spacing w:after="0" w:line="204" w:lineRule="auto"/>
        <w:rPr>
          <w:sz w:val="20"/>
          <w:szCs w:val="20"/>
          <w:color w:val="auto"/>
        </w:rPr>
      </w:pPr>
      <w:r>
        <w:rPr>
          <w:rFonts w:ascii="Arial" w:cs="Arial" w:eastAsia="Arial" w:hAnsi="Arial"/>
          <w:sz w:val="18"/>
          <w:szCs w:val="18"/>
          <w:b w:val="1"/>
          <w:bCs w:val="1"/>
          <w:color w:val="auto"/>
        </w:rPr>
        <w:t>(763) 852-2950</w:t>
      </w:r>
    </w:p>
    <w:p>
      <w:pPr>
        <w:ind w:left="3064"/>
        <w:spacing w:after="0" w:line="215" w:lineRule="auto"/>
        <w:rPr>
          <w:sz w:val="20"/>
          <w:szCs w:val="20"/>
          <w:color w:val="auto"/>
        </w:rPr>
      </w:pPr>
      <w:r>
        <w:rPr>
          <w:rFonts w:ascii="Arial" w:cs="Arial" w:eastAsia="Arial" w:hAnsi="Arial"/>
          <w:sz w:val="17"/>
          <w:szCs w:val="17"/>
          <w:color w:val="auto"/>
        </w:rPr>
        <w:t>(Registrant’s telephone number, including area code)</w:t>
      </w:r>
    </w:p>
    <w:p>
      <w:pPr>
        <w:spacing w:after="0" w:line="1" w:lineRule="exact"/>
        <w:rPr>
          <w:sz w:val="24"/>
          <w:szCs w:val="24"/>
          <w:color w:val="auto"/>
        </w:rPr>
      </w:pPr>
    </w:p>
    <w:p>
      <w:pPr>
        <w:ind w:left="276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9904"/>
          </w:cols>
          <w:pgMar w:left="976" w:top="220" w:right="1019" w:bottom="1440" w:gutter="0" w:footer="0" w:header="0"/>
          <w:type w:val="continuous"/>
        </w:sectPr>
      </w:pPr>
    </w:p>
    <w:p>
      <w:pPr>
        <w:spacing w:after="0" w:line="215" w:lineRule="exact"/>
        <w:rPr>
          <w:sz w:val="24"/>
          <w:szCs w:val="24"/>
          <w:color w:val="auto"/>
        </w:rPr>
      </w:pPr>
    </w:p>
    <w:p>
      <w:pPr>
        <w:ind w:left="1204"/>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3604" w:space="720"/>
            <w:col w:w="1400" w:space="720"/>
            <w:col w:w="3460"/>
          </w:cols>
          <w:pgMar w:left="976" w:top="220" w:right="1019" w:bottom="1440" w:gutter="0" w:footer="0" w:header="0"/>
          <w:type w:val="continuous"/>
        </w:sectPr>
      </w:pPr>
    </w:p>
    <w:p>
      <w:pPr>
        <w:spacing w:after="0" w:line="10" w:lineRule="exact"/>
        <w:rPr>
          <w:sz w:val="24"/>
          <w:szCs w:val="24"/>
          <w:color w:val="auto"/>
        </w:rPr>
      </w:pPr>
    </w:p>
    <w:p>
      <w:pPr>
        <w:ind w:left="1664"/>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N/A</w:t>
      </w:r>
    </w:p>
    <w:p>
      <w:pPr>
        <w:spacing w:after="0" w:line="38" w:lineRule="exact"/>
        <w:rPr>
          <w:sz w:val="24"/>
          <w:szCs w:val="24"/>
          <w:color w:val="auto"/>
        </w:rPr>
      </w:pPr>
    </w:p>
    <w:p>
      <w:pPr>
        <w:sectPr>
          <w:pgSz w:w="11900" w:h="16838" w:orient="portrait"/>
          <w:cols w:equalWidth="0" w:num="3">
            <w:col w:w="4144" w:space="720"/>
            <w:col w:w="2380" w:space="720"/>
            <w:col w:w="1940"/>
          </w:cols>
          <w:pgMar w:left="976" w:top="220" w:right="1019" w:bottom="1440" w:gutter="0" w:footer="0" w:header="0"/>
          <w:type w:val="continuous"/>
        </w:sectPr>
      </w:pPr>
    </w:p>
    <w:p>
      <w:pPr>
        <w:jc w:val="center"/>
        <w:ind w:right="-23"/>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23"/>
        <w:spacing w:after="0" w:line="199" w:lineRule="auto"/>
        <w:rPr>
          <w:sz w:val="20"/>
          <w:szCs w:val="20"/>
          <w:color w:val="auto"/>
        </w:rPr>
      </w:pPr>
      <w:r>
        <w:rPr>
          <w:rFonts w:ascii="Arial" w:cs="Arial" w:eastAsia="Arial" w:hAnsi="Arial"/>
          <w:sz w:val="18"/>
          <w:szCs w:val="18"/>
          <w:b w:val="1"/>
          <w:bCs w:val="1"/>
          <w:color w:val="auto"/>
        </w:rPr>
        <w:t>Common Stock, $0.0001 par value</w:t>
      </w:r>
    </w:p>
    <w:p>
      <w:pPr>
        <w:ind w:left="4"/>
        <w:spacing w:after="0" w:line="173" w:lineRule="exact"/>
        <w:tabs>
          <w:tab w:leader="none" w:pos="8204"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ind w:left="4"/>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left="4" w:right="6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4" w:right="120"/>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4" w:right="8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04"/>
          </w:cols>
          <w:pgMar w:left="976" w:top="220" w:right="1019" w:bottom="1440" w:gutter="0" w:footer="0" w:header="0"/>
          <w:type w:val="continuous"/>
        </w:sectPr>
      </w:pPr>
    </w:p>
    <w:p>
      <w:pPr>
        <w:spacing w:after="0" w:line="292" w:lineRule="exact"/>
        <w:rPr>
          <w:sz w:val="24"/>
          <w:szCs w:val="24"/>
          <w:color w:val="auto"/>
        </w:rPr>
      </w:pPr>
    </w:p>
    <w:p>
      <w:pPr>
        <w:ind w:left="38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32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2">
            <w:col w:w="4684" w:space="720"/>
            <w:col w:w="4500"/>
          </w:cols>
          <w:pgMar w:left="976" w:top="220" w:right="1019" w:bottom="1440" w:gutter="0" w:footer="0" w:header="0"/>
          <w:type w:val="continuous"/>
        </w:sectPr>
      </w:pPr>
    </w:p>
    <w:p>
      <w:pPr>
        <w:ind w:left="384"/>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2">
            <w:col w:w="4684" w:space="720"/>
            <w:col w:w="4500"/>
          </w:cols>
          <w:pgMar w:left="976" w:top="220" w:right="1019" w:bottom="1440" w:gutter="0" w:footer="0" w:header="0"/>
          <w:type w:val="continuous"/>
        </w:sectPr>
      </w:pPr>
    </w:p>
    <w:p>
      <w:pPr>
        <w:ind w:left="4" w:right="24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left="4"/>
        <w:spacing w:after="0" w:line="173" w:lineRule="exact"/>
        <w:tabs>
          <w:tab w:leader="none" w:pos="7324"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ind w:left="4"/>
        <w:spacing w:after="0" w:line="230"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$144,783,040.</w:t>
      </w:r>
    </w:p>
    <w:p>
      <w:pPr>
        <w:spacing w:after="0" w:line="65" w:lineRule="exact"/>
        <w:rPr>
          <w:sz w:val="24"/>
          <w:szCs w:val="24"/>
          <w:color w:val="auto"/>
        </w:rPr>
      </w:pPr>
    </w:p>
    <w:p>
      <w:pPr>
        <w:ind w:left="4"/>
        <w:spacing w:after="0"/>
        <w:rPr>
          <w:sz w:val="20"/>
          <w:szCs w:val="20"/>
          <w:color w:val="auto"/>
        </w:rPr>
      </w:pPr>
      <w:r>
        <w:rPr>
          <w:rFonts w:ascii="Arial" w:cs="Arial" w:eastAsia="Arial" w:hAnsi="Arial"/>
          <w:sz w:val="16"/>
          <w:szCs w:val="16"/>
          <w:color w:val="auto"/>
        </w:rPr>
        <w:t>As of March 9, 2020, the registrant had 50,751,615 shares of common stock outstanding.</w:t>
      </w:r>
    </w:p>
    <w:p>
      <w:pPr>
        <w:spacing w:after="0" w:line="82" w:lineRule="exact"/>
        <w:rPr>
          <w:sz w:val="24"/>
          <w:szCs w:val="24"/>
          <w:color w:val="auto"/>
        </w:rPr>
      </w:pPr>
    </w:p>
    <w:p>
      <w:pPr>
        <w:ind w:left="3104"/>
        <w:spacing w:after="0"/>
        <w:rPr>
          <w:sz w:val="20"/>
          <w:szCs w:val="20"/>
          <w:color w:val="auto"/>
        </w:rPr>
      </w:pPr>
      <w:r>
        <w:rPr>
          <w:rFonts w:ascii="Arial" w:cs="Arial" w:eastAsia="Arial" w:hAnsi="Arial"/>
          <w:sz w:val="16"/>
          <w:szCs w:val="16"/>
          <w:b w:val="1"/>
          <w:bCs w:val="1"/>
          <w:color w:val="auto"/>
        </w:rPr>
        <w:t>DOCUMENTS INCORPORATED BY REFERENCE</w:t>
      </w:r>
    </w:p>
    <w:p>
      <w:pPr>
        <w:spacing w:after="0" w:line="140" w:lineRule="exact"/>
        <w:rPr>
          <w:sz w:val="24"/>
          <w:szCs w:val="24"/>
          <w:color w:val="auto"/>
        </w:rPr>
      </w:pPr>
    </w:p>
    <w:p>
      <w:pPr>
        <w:ind w:left="4" w:right="100"/>
        <w:spacing w:after="0" w:line="224" w:lineRule="auto"/>
        <w:rPr>
          <w:sz w:val="20"/>
          <w:szCs w:val="20"/>
          <w:color w:val="auto"/>
        </w:rPr>
      </w:pPr>
      <w:r>
        <w:rPr>
          <w:rFonts w:ascii="Arial" w:cs="Arial" w:eastAsia="Arial" w:hAnsi="Arial"/>
          <w:sz w:val="18"/>
          <w:szCs w:val="18"/>
          <w:color w:val="auto"/>
        </w:rPr>
        <w:t>Certain information required by Part III is incorporated by reference from the Company’s definitive Proxy Statement for the Annual Meeting of Shareholders, or an amendment to this Form 10-K, which it intends to file with the SEC within 120 days after the fiscal year end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630936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936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52705</wp:posOffset>
            </wp:positionV>
            <wp:extent cx="6309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485775</wp:posOffset>
            </wp:positionV>
            <wp:extent cx="635190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4"/>
          </w:cols>
          <w:pgMar w:left="976" w:top="220" w:right="10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SHOP HOLDINGS, INC. FORM 10-K</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15"/>
          </w:tcPr>
          <w:p>
            <w:pPr>
              <w:ind w:left="16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297"/>
        </w:trPr>
        <w:tc>
          <w:tcPr>
            <w:tcW w:w="1160" w:type="dxa"/>
            <w:vAlign w:val="bottom"/>
            <w:gridSpan w:val="8"/>
          </w:tcPr>
          <w:p>
            <w:pPr>
              <w:spacing w:after="0"/>
              <w:rPr>
                <w:sz w:val="20"/>
                <w:szCs w:val="20"/>
                <w:color w:val="auto"/>
              </w:rPr>
            </w:pPr>
            <w:r>
              <w:rPr>
                <w:rFonts w:ascii="Arial" w:cs="Arial" w:eastAsia="Arial" w:hAnsi="Arial"/>
                <w:sz w:val="18"/>
                <w:szCs w:val="18"/>
                <w:color w:val="auto"/>
              </w:rPr>
              <w:t>PART I</w:t>
            </w:r>
          </w:p>
        </w:tc>
        <w:tc>
          <w:tcPr>
            <w:tcW w:w="632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880" w:type="dxa"/>
            <w:vAlign w:val="bottom"/>
            <w:gridSpan w:val="7"/>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r>
              <w:rPr>
                <w:rFonts w:ascii="Arial" w:cs="Arial" w:eastAsia="Arial" w:hAnsi="Arial"/>
                <w:sz w:val="18"/>
                <w:szCs w:val="18"/>
                <w:color w:val="000000"/>
              </w:rPr>
              <w:t>.</w:t>
            </w:r>
          </w:p>
        </w:tc>
        <w:tc>
          <w:tcPr>
            <w:tcW w:w="63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4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ITEM</w:t>
              </w:r>
            </w:hyperlink>
          </w:p>
        </w:tc>
        <w:tc>
          <w:tcPr>
            <w:tcW w:w="140" w:type="dxa"/>
            <w:vAlign w:val="bottom"/>
          </w:tcPr>
          <w:p>
            <w:pPr>
              <w:spacing w:after="0"/>
              <w:rPr>
                <w:sz w:val="17"/>
                <w:szCs w:val="17"/>
                <w:color w:val="auto"/>
              </w:rPr>
            </w:pPr>
          </w:p>
        </w:tc>
        <w:tc>
          <w:tcPr>
            <w:tcW w:w="300" w:type="dxa"/>
            <w:vAlign w:val="bottom"/>
            <w:gridSpan w:val="3"/>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50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1A</w:t>
              </w:r>
              <w:r>
                <w:rPr>
                  <w:rFonts w:ascii="Arial" w:cs="Arial" w:eastAsia="Arial" w:hAnsi="Arial"/>
                  <w:sz w:val="18"/>
                  <w:szCs w:val="18"/>
                  <w:color w:val="000000"/>
                </w:rPr>
                <w:t>.</w:t>
              </w:r>
            </w:hyperlink>
          </w:p>
        </w:tc>
        <w:tc>
          <w:tcPr>
            <w:tcW w:w="1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gridSpan w:val="23"/>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20" w:type="dxa"/>
            <w:vAlign w:val="bottom"/>
            <w:gridSpan w:val="2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ITEM</w:t>
              </w:r>
            </w:hyperlink>
          </w:p>
        </w:tc>
        <w:tc>
          <w:tcPr>
            <w:tcW w:w="440" w:type="dxa"/>
            <w:vAlign w:val="bottom"/>
            <w:gridSpan w:val="4"/>
          </w:tcPr>
          <w:p>
            <w:pPr>
              <w:spacing w:after="0"/>
              <w:rPr>
                <w:sz w:val="13"/>
                <w:szCs w:val="13"/>
                <w:color w:val="auto"/>
              </w:rPr>
            </w:pPr>
          </w:p>
        </w:tc>
        <w:tc>
          <w:tcPr>
            <w:tcW w:w="632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1B</w:t>
              </w:r>
              <w:r>
                <w:rPr>
                  <w:rFonts w:ascii="Arial" w:cs="Arial" w:eastAsia="Arial" w:hAnsi="Arial"/>
                  <w:sz w:val="18"/>
                  <w:szCs w:val="18"/>
                  <w:color w:val="000000"/>
                </w:rPr>
                <w:t>.</w:t>
              </w:r>
            </w:hyperlink>
          </w:p>
        </w:tc>
        <w:tc>
          <w:tcPr>
            <w:tcW w:w="1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20" w:type="dxa"/>
            <w:vAlign w:val="bottom"/>
            <w:tcBorders>
              <w:top w:val="single" w:sz="8" w:color="0000EE"/>
            </w:tcBorders>
            <w:gridSpan w:val="9"/>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3500" w:type="dxa"/>
            <w:vAlign w:val="bottom"/>
            <w:gridSpan w:val="1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9"/>
            <w:vMerge w:val="continue"/>
          </w:tcPr>
          <w:p>
            <w:pPr>
              <w:spacing w:after="0" w:line="20" w:lineRule="exact"/>
              <w:rPr>
                <w:sz w:val="1"/>
                <w:szCs w:val="1"/>
                <w:color w:val="auto"/>
              </w:rPr>
            </w:pPr>
          </w:p>
        </w:tc>
        <w:tc>
          <w:tcPr>
            <w:tcW w:w="3500" w:type="dxa"/>
            <w:vAlign w:val="bottom"/>
            <w:gridSpan w:val="1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2820" w:type="dxa"/>
            <w:vAlign w:val="bottom"/>
            <w:gridSpan w:val="9"/>
            <w:vMerge w:val="continue"/>
          </w:tcPr>
          <w:p>
            <w:pPr>
              <w:spacing w:after="0"/>
              <w:rPr>
                <w:sz w:val="13"/>
                <w:szCs w:val="13"/>
                <w:color w:val="auto"/>
              </w:rPr>
            </w:pPr>
          </w:p>
        </w:tc>
        <w:tc>
          <w:tcPr>
            <w:tcW w:w="350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r>
              <w:rPr>
                <w:rFonts w:ascii="Arial" w:cs="Arial" w:eastAsia="Arial" w:hAnsi="Arial"/>
                <w:sz w:val="18"/>
                <w:szCs w:val="18"/>
                <w:color w:val="000000"/>
              </w:rPr>
              <w:t>.</w:t>
            </w:r>
          </w:p>
        </w:tc>
        <w:tc>
          <w:tcPr>
            <w:tcW w:w="632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gridSpan w:val="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632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8"/>
          </w:tcPr>
          <w:p>
            <w:pPr>
              <w:spacing w:after="0"/>
              <w:rPr>
                <w:sz w:val="20"/>
                <w:szCs w:val="20"/>
                <w:color w:val="auto"/>
              </w:rPr>
            </w:pPr>
            <w:r>
              <w:rPr>
                <w:rFonts w:ascii="Arial" w:cs="Arial" w:eastAsia="Arial" w:hAnsi="Arial"/>
                <w:sz w:val="18"/>
                <w:szCs w:val="18"/>
                <w:color w:val="auto"/>
              </w:rPr>
              <w:t>PART II</w:t>
            </w:r>
          </w:p>
        </w:tc>
        <w:tc>
          <w:tcPr>
            <w:tcW w:w="6320" w:type="dxa"/>
            <w:vAlign w:val="bottom"/>
            <w:gridSpan w:val="23"/>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THE REGISTRANT’S COMMON EQUITY, RELATED</w:t>
              </w:r>
            </w:hyperlink>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880" w:type="dxa"/>
            <w:vAlign w:val="bottom"/>
            <w:gridSpan w:val="7"/>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63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340" w:type="dxa"/>
            <w:vAlign w:val="bottom"/>
            <w:tcBorders>
              <w:top w:val="single" w:sz="8" w:color="0000EE"/>
              <w:bottom w:val="single" w:sz="8" w:color="0000EE"/>
            </w:tcBorders>
            <w:gridSpan w:val="16"/>
          </w:tcPr>
          <w:p>
            <w:pPr>
              <w:spacing w:after="0" w:line="15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STOCKHOLDER MATTERS AND ISSUER PURCHASES OF EQUITY</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360" w:type="dxa"/>
            <w:vAlign w:val="bottom"/>
            <w:gridSpan w:val="17"/>
          </w:tcPr>
          <w:p>
            <w:pPr>
              <w:spacing w:after="0" w:line="156" w:lineRule="exact"/>
              <w:rPr>
                <w:rFonts w:ascii="Arial" w:cs="Arial" w:eastAsia="Arial" w:hAnsi="Arial"/>
                <w:sz w:val="18"/>
                <w:szCs w:val="18"/>
                <w:color w:val="0000EE"/>
              </w:rPr>
            </w:pPr>
            <w:hyperlink w:anchor="page18">
              <w:r>
                <w:rPr>
                  <w:rFonts w:ascii="Arial" w:cs="Arial" w:eastAsia="Arial" w:hAnsi="Arial"/>
                  <w:sz w:val="18"/>
                  <w:szCs w:val="18"/>
                  <w:color w:val="0000EE"/>
                </w:rPr>
                <w:t>SECURITIES</w:t>
              </w:r>
            </w:hyperlink>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20">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106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w:anchor="page20">
              <w:r>
                <w:rPr>
                  <w:rFonts w:ascii="Arial" w:cs="Arial" w:eastAsia="Arial" w:hAnsi="Arial"/>
                  <w:sz w:val="18"/>
                  <w:szCs w:val="18"/>
                  <w:color w:val="0000EE"/>
                </w:rPr>
                <w:t>SELECTED</w:t>
              </w:r>
            </w:hyperlink>
          </w:p>
        </w:tc>
        <w:tc>
          <w:tcPr>
            <w:tcW w:w="5260" w:type="dxa"/>
            <w:vAlign w:val="bottom"/>
            <w:gridSpan w:val="21"/>
          </w:tcPr>
          <w:p>
            <w:pPr>
              <w:spacing w:after="0" w:line="156" w:lineRule="exact"/>
              <w:rPr>
                <w:rFonts w:ascii="Arial" w:cs="Arial" w:eastAsia="Arial" w:hAnsi="Arial"/>
                <w:sz w:val="18"/>
                <w:szCs w:val="18"/>
                <w:color w:val="0000EE"/>
              </w:rPr>
            </w:pPr>
            <w:hyperlink w:anchor="page20">
              <w:r>
                <w:rPr>
                  <w:rFonts w:ascii="Arial" w:cs="Arial" w:eastAsia="Arial" w:hAnsi="Arial"/>
                  <w:sz w:val="18"/>
                  <w:szCs w:val="18"/>
                  <w:color w:val="0000EE"/>
                </w:rPr>
                <w:t>FINANCIAL DATA</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7</w:t>
              </w:r>
            </w:hyperlink>
            <w:r>
              <w:rPr>
                <w:rFonts w:ascii="Arial" w:cs="Arial" w:eastAsia="Arial" w:hAnsi="Arial"/>
                <w:sz w:val="18"/>
                <w:szCs w:val="18"/>
                <w:color w:val="000000"/>
              </w:rPr>
              <w:t>.</w:t>
            </w:r>
          </w:p>
        </w:tc>
        <w:tc>
          <w:tcPr>
            <w:tcW w:w="6320" w:type="dxa"/>
            <w:vAlign w:val="bottom"/>
            <w:gridSpan w:val="23"/>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w:t>
              </w:r>
            </w:hyperlink>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40" w:type="dxa"/>
            <w:vAlign w:val="bottom"/>
            <w:tcBorders>
              <w:top w:val="single" w:sz="8" w:color="0000EE"/>
            </w:tcBorders>
            <w:gridSpan w:val="3"/>
            <w:vMerge w:val="restart"/>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ITEM</w:t>
              </w:r>
            </w:hyperlink>
          </w:p>
        </w:tc>
        <w:tc>
          <w:tcPr>
            <w:tcW w:w="140" w:type="dxa"/>
            <w:vAlign w:val="bottom"/>
            <w:tcBorders>
              <w:top w:val="single" w:sz="8" w:color="0000EE"/>
            </w:tcBorders>
            <w:vMerge w:val="restart"/>
          </w:tcPr>
          <w:p>
            <w:pPr>
              <w:spacing w:after="0"/>
              <w:rPr>
                <w:sz w:val="13"/>
                <w:szCs w:val="13"/>
                <w:color w:val="auto"/>
              </w:rPr>
            </w:pPr>
          </w:p>
        </w:tc>
        <w:tc>
          <w:tcPr>
            <w:tcW w:w="300" w:type="dxa"/>
            <w:vAlign w:val="bottom"/>
            <w:gridSpan w:val="3"/>
            <w:vMerge w:val="restart"/>
          </w:tcPr>
          <w:p>
            <w:pPr>
              <w:spacing w:after="0"/>
              <w:rPr>
                <w:sz w:val="13"/>
                <w:szCs w:val="13"/>
                <w:color w:val="auto"/>
              </w:rPr>
            </w:pPr>
          </w:p>
        </w:tc>
        <w:tc>
          <w:tcPr>
            <w:tcW w:w="626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22">
              <w:r>
                <w:rPr>
                  <w:rFonts w:ascii="Arial" w:cs="Arial" w:eastAsia="Arial" w:hAnsi="Arial"/>
                  <w:sz w:val="18"/>
                  <w:szCs w:val="18"/>
                  <w:color w:val="0000EE"/>
                </w:rPr>
                <w:t>AND RESULTS OF OPERATIONS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gridSpan w:val="3"/>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6320" w:type="dxa"/>
            <w:vAlign w:val="bottom"/>
            <w:gridSpan w:val="23"/>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7A.</w:t>
              </w:r>
            </w:hyperlink>
          </w:p>
        </w:tc>
        <w:tc>
          <w:tcPr>
            <w:tcW w:w="3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140" w:type="dxa"/>
            <w:vAlign w:val="bottom"/>
            <w:tcBorders>
              <w:top w:val="single" w:sz="8" w:color="0000EE"/>
            </w:tcBorders>
            <w:gridSpan w:val="20"/>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18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40" w:type="dxa"/>
            <w:vAlign w:val="bottom"/>
            <w:gridSpan w:val="20"/>
            <w:vMerge w:val="continue"/>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ITEM 8</w:t>
              </w:r>
            </w:hyperlink>
            <w:r>
              <w:rPr>
                <w:rFonts w:ascii="Arial" w:cs="Arial" w:eastAsia="Arial" w:hAnsi="Arial"/>
                <w:sz w:val="18"/>
                <w:szCs w:val="18"/>
                <w:color w:val="000000"/>
              </w:rPr>
              <w:t>.</w:t>
            </w:r>
          </w:p>
        </w:tc>
        <w:tc>
          <w:tcPr>
            <w:tcW w:w="6140" w:type="dxa"/>
            <w:vAlign w:val="bottom"/>
            <w:gridSpan w:val="20"/>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88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9</w:t>
              </w:r>
            </w:hyperlink>
            <w:r>
              <w:rPr>
                <w:rFonts w:ascii="Arial" w:cs="Arial" w:eastAsia="Arial" w:hAnsi="Arial"/>
                <w:sz w:val="18"/>
                <w:szCs w:val="18"/>
                <w:color w:val="000000"/>
              </w:rPr>
              <w:t>.</w:t>
            </w:r>
          </w:p>
        </w:tc>
        <w:tc>
          <w:tcPr>
            <w:tcW w:w="6320" w:type="dxa"/>
            <w:vAlign w:val="bottom"/>
            <w:gridSpan w:val="2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CHANGES IN AND DISAGREEMENTS WITH ACCOUNTANTS ON</w:t>
              </w:r>
            </w:hyperlink>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40" w:type="dxa"/>
            <w:vAlign w:val="bottom"/>
            <w:tcBorders>
              <w:top w:val="single" w:sz="8" w:color="0000EE"/>
            </w:tcBorders>
            <w:gridSpan w:val="3"/>
            <w:vMerge w:val="restart"/>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ITEM</w:t>
              </w:r>
            </w:hyperlink>
          </w:p>
        </w:tc>
        <w:tc>
          <w:tcPr>
            <w:tcW w:w="140" w:type="dxa"/>
            <w:vAlign w:val="bottom"/>
            <w:tcBorders>
              <w:top w:val="single" w:sz="8" w:color="0000EE"/>
            </w:tcBorders>
            <w:vMerge w:val="restart"/>
          </w:tcPr>
          <w:p>
            <w:pPr>
              <w:spacing w:after="0"/>
              <w:rPr>
                <w:sz w:val="13"/>
                <w:szCs w:val="13"/>
                <w:color w:val="auto"/>
              </w:rPr>
            </w:pPr>
          </w:p>
        </w:tc>
        <w:tc>
          <w:tcPr>
            <w:tcW w:w="300" w:type="dxa"/>
            <w:vAlign w:val="bottom"/>
            <w:gridSpan w:val="3"/>
            <w:vMerge w:val="restart"/>
          </w:tcPr>
          <w:p>
            <w:pPr>
              <w:spacing w:after="0"/>
              <w:rPr>
                <w:sz w:val="13"/>
                <w:szCs w:val="13"/>
                <w:color w:val="auto"/>
              </w:rPr>
            </w:pPr>
          </w:p>
        </w:tc>
        <w:tc>
          <w:tcPr>
            <w:tcW w:w="526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ACCOUNTING AND FINANCIAL DISCLOSURE</w:t>
              </w:r>
            </w:hyperlink>
          </w:p>
        </w:tc>
        <w:tc>
          <w:tcPr>
            <w:tcW w:w="12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440" w:type="dxa"/>
            <w:vAlign w:val="bottom"/>
            <w:tcBorders>
              <w:top w:val="single" w:sz="8" w:color="0000EE"/>
            </w:tcBorders>
            <w:gridSpan w:val="3"/>
            <w:vMerge w:val="continue"/>
          </w:tcPr>
          <w:p>
            <w:pPr>
              <w:spacing w:after="0"/>
              <w:rPr>
                <w:sz w:val="13"/>
                <w:szCs w:val="13"/>
                <w:color w:val="auto"/>
              </w:rPr>
            </w:pPr>
          </w:p>
        </w:tc>
        <w:tc>
          <w:tcPr>
            <w:tcW w:w="140" w:type="dxa"/>
            <w:vAlign w:val="bottom"/>
            <w:tcBorders>
              <w:top w:val="single" w:sz="8" w:color="0000EE"/>
            </w:tcBorders>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3800" w:type="dxa"/>
            <w:vAlign w:val="bottom"/>
            <w:tcBorders>
              <w:top w:val="single" w:sz="8" w:color="0000EE"/>
            </w:tcBorders>
            <w:gridSpan w:val="10"/>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560" w:type="dxa"/>
            <w:vAlign w:val="bottom"/>
            <w:gridSpan w:val="4"/>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9A</w:t>
              </w:r>
              <w:r>
                <w:rPr>
                  <w:rFonts w:ascii="Arial" w:cs="Arial" w:eastAsia="Arial" w:hAnsi="Arial"/>
                  <w:sz w:val="18"/>
                  <w:szCs w:val="18"/>
                  <w:color w:val="000000"/>
                </w:rPr>
                <w:t>.</w:t>
              </w:r>
            </w:hyperlink>
          </w:p>
        </w:tc>
        <w:tc>
          <w:tcPr>
            <w:tcW w:w="3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620" w:type="dxa"/>
            <w:vAlign w:val="bottom"/>
            <w:tcBorders>
              <w:top w:val="single" w:sz="8" w:color="0000EE"/>
            </w:tcBorders>
            <w:gridSpan w:val="8"/>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370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8"/>
            <w:vMerge w:val="continue"/>
          </w:tcPr>
          <w:p>
            <w:pPr>
              <w:spacing w:after="0" w:line="20" w:lineRule="exact"/>
              <w:rPr>
                <w:sz w:val="1"/>
                <w:szCs w:val="1"/>
                <w:color w:val="auto"/>
              </w:rPr>
            </w:pPr>
          </w:p>
        </w:tc>
        <w:tc>
          <w:tcPr>
            <w:tcW w:w="3700" w:type="dxa"/>
            <w:vAlign w:val="bottom"/>
            <w:gridSpan w:val="1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ITEM</w:t>
              </w:r>
            </w:hyperlink>
          </w:p>
        </w:tc>
        <w:tc>
          <w:tcPr>
            <w:tcW w:w="2620" w:type="dxa"/>
            <w:vAlign w:val="bottom"/>
            <w:gridSpan w:val="8"/>
            <w:vMerge w:val="continue"/>
          </w:tcPr>
          <w:p>
            <w:pPr>
              <w:spacing w:after="0"/>
              <w:rPr>
                <w:sz w:val="13"/>
                <w:szCs w:val="13"/>
                <w:color w:val="auto"/>
              </w:rPr>
            </w:pPr>
          </w:p>
        </w:tc>
        <w:tc>
          <w:tcPr>
            <w:tcW w:w="370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9B</w:t>
              </w:r>
              <w:r>
                <w:rPr>
                  <w:rFonts w:ascii="Arial" w:cs="Arial" w:eastAsia="Arial" w:hAnsi="Arial"/>
                  <w:sz w:val="18"/>
                  <w:szCs w:val="18"/>
                  <w:color w:val="000000"/>
                </w:rPr>
                <w:t>.</w:t>
              </w:r>
            </w:hyperlink>
          </w:p>
        </w:tc>
        <w:tc>
          <w:tcPr>
            <w:tcW w:w="3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8"/>
          </w:tcPr>
          <w:p>
            <w:pPr>
              <w:spacing w:after="0"/>
              <w:rPr>
                <w:sz w:val="20"/>
                <w:szCs w:val="20"/>
                <w:color w:val="auto"/>
              </w:rPr>
            </w:pPr>
            <w:r>
              <w:rPr>
                <w:rFonts w:ascii="Arial" w:cs="Arial" w:eastAsia="Arial" w:hAnsi="Arial"/>
                <w:sz w:val="18"/>
                <w:szCs w:val="18"/>
                <w:color w:val="auto"/>
              </w:rPr>
              <w:t>PART III</w:t>
            </w:r>
          </w:p>
        </w:tc>
        <w:tc>
          <w:tcPr>
            <w:tcW w:w="6320" w:type="dxa"/>
            <w:vAlign w:val="bottom"/>
            <w:gridSpan w:val="23"/>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40" w:type="dxa"/>
            <w:vAlign w:val="bottom"/>
            <w:gridSpan w:val="3"/>
          </w:tcPr>
          <w:p>
            <w:pPr>
              <w:spacing w:after="0" w:line="189"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ITEM</w:t>
              </w:r>
            </w:hyperlink>
          </w:p>
        </w:tc>
        <w:tc>
          <w:tcPr>
            <w:tcW w:w="440" w:type="dxa"/>
            <w:vAlign w:val="bottom"/>
            <w:gridSpan w:val="4"/>
          </w:tcPr>
          <w:p>
            <w:pPr>
              <w:spacing w:after="0"/>
              <w:rPr>
                <w:sz w:val="16"/>
                <w:szCs w:val="16"/>
                <w:color w:val="auto"/>
              </w:rPr>
            </w:pPr>
          </w:p>
        </w:tc>
        <w:tc>
          <w:tcPr>
            <w:tcW w:w="632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top w:val="single" w:sz="8" w:color="0000EE"/>
            </w:tcBorders>
          </w:tcPr>
          <w:p>
            <w:pPr>
              <w:spacing w:after="0"/>
              <w:rPr>
                <w:rFonts w:ascii="Arial" w:cs="Arial" w:eastAsia="Arial" w:hAnsi="Arial"/>
                <w:sz w:val="13"/>
                <w:szCs w:val="13"/>
                <w:color w:val="0000EE"/>
                <w:w w:val="77"/>
              </w:rPr>
            </w:pPr>
            <w:hyperlink w:anchor="page35">
              <w:r>
                <w:rPr>
                  <w:rFonts w:ascii="Arial" w:cs="Arial" w:eastAsia="Arial" w:hAnsi="Arial"/>
                  <w:sz w:val="13"/>
                  <w:szCs w:val="13"/>
                  <w:color w:val="0000EE"/>
                  <w:w w:val="77"/>
                </w:rPr>
                <w:t>10</w:t>
              </w:r>
              <w:r>
                <w:rPr>
                  <w:rFonts w:ascii="Arial" w:cs="Arial" w:eastAsia="Arial" w:hAnsi="Arial"/>
                  <w:sz w:val="13"/>
                  <w:szCs w:val="13"/>
                  <w:color w:val="000000"/>
                  <w:w w:val="77"/>
                </w:rPr>
                <w:t>.</w:t>
              </w:r>
            </w:hyperlink>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40" w:type="dxa"/>
            <w:vAlign w:val="bottom"/>
            <w:tcBorders>
              <w:top w:val="single" w:sz="8" w:color="0000EE"/>
            </w:tcBorders>
            <w:gridSpan w:val="7"/>
            <w:vMerge w:val="restart"/>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EXECUTIVE COMPENSATION</w:t>
              </w:r>
            </w:hyperlink>
          </w:p>
        </w:tc>
        <w:tc>
          <w:tcPr>
            <w:tcW w:w="3360" w:type="dxa"/>
            <w:vAlign w:val="bottom"/>
            <w:tcBorders>
              <w:top w:val="single" w:sz="8" w:color="0000EE"/>
            </w:tcBorders>
            <w:gridSpan w:val="12"/>
            <w:vMerge w:val="restart"/>
          </w:tcPr>
          <w:p>
            <w:pPr>
              <w:spacing w:after="0"/>
              <w:rPr>
                <w:sz w:val="13"/>
                <w:szCs w:val="13"/>
                <w:color w:val="auto"/>
              </w:rPr>
            </w:pPr>
          </w:p>
        </w:tc>
        <w:tc>
          <w:tcPr>
            <w:tcW w:w="520" w:type="dxa"/>
            <w:vAlign w:val="bottom"/>
            <w:gridSpan w:val="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7"/>
            <w:vMerge w:val="continue"/>
          </w:tcPr>
          <w:p>
            <w:pPr>
              <w:spacing w:after="0" w:line="20" w:lineRule="exact"/>
              <w:rPr>
                <w:sz w:val="1"/>
                <w:szCs w:val="1"/>
                <w:color w:val="auto"/>
              </w:rPr>
            </w:pPr>
          </w:p>
        </w:tc>
        <w:tc>
          <w:tcPr>
            <w:tcW w:w="3360" w:type="dxa"/>
            <w:vAlign w:val="bottom"/>
            <w:gridSpan w:val="12"/>
            <w:vMerge w:val="continue"/>
          </w:tcPr>
          <w:p>
            <w:pPr>
              <w:spacing w:after="0" w:line="20" w:lineRule="exact"/>
              <w:rPr>
                <w:sz w:val="1"/>
                <w:szCs w:val="1"/>
                <w:color w:val="auto"/>
              </w:rPr>
            </w:pPr>
          </w:p>
        </w:tc>
        <w:tc>
          <w:tcPr>
            <w:tcW w:w="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ITEM</w:t>
              </w:r>
            </w:hyperlink>
          </w:p>
        </w:tc>
        <w:tc>
          <w:tcPr>
            <w:tcW w:w="440" w:type="dxa"/>
            <w:vAlign w:val="bottom"/>
            <w:gridSpan w:val="4"/>
          </w:tcPr>
          <w:p>
            <w:pPr>
              <w:spacing w:after="0"/>
              <w:rPr>
                <w:sz w:val="13"/>
                <w:szCs w:val="13"/>
                <w:color w:val="auto"/>
              </w:rPr>
            </w:pPr>
          </w:p>
        </w:tc>
        <w:tc>
          <w:tcPr>
            <w:tcW w:w="2440" w:type="dxa"/>
            <w:vAlign w:val="bottom"/>
            <w:tcBorders>
              <w:bottom w:val="single" w:sz="8" w:color="0000EE"/>
            </w:tcBorders>
            <w:gridSpan w:val="7"/>
            <w:vMerge w:val="continue"/>
          </w:tcPr>
          <w:p>
            <w:pPr>
              <w:spacing w:after="0"/>
              <w:rPr>
                <w:sz w:val="13"/>
                <w:szCs w:val="13"/>
                <w:color w:val="auto"/>
              </w:rPr>
            </w:pPr>
          </w:p>
        </w:tc>
        <w:tc>
          <w:tcPr>
            <w:tcW w:w="3360" w:type="dxa"/>
            <w:vAlign w:val="bottom"/>
            <w:gridSpan w:val="12"/>
            <w:vMerge w:val="continue"/>
          </w:tcPr>
          <w:p>
            <w:pPr>
              <w:spacing w:after="0"/>
              <w:rPr>
                <w:sz w:val="13"/>
                <w:szCs w:val="13"/>
                <w:color w:val="auto"/>
              </w:rPr>
            </w:pPr>
          </w:p>
        </w:tc>
        <w:tc>
          <w:tcPr>
            <w:tcW w:w="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bottom w:val="single" w:sz="8" w:color="0000EE"/>
            </w:tcBorders>
          </w:tcPr>
          <w:p>
            <w:pPr>
              <w:spacing w:after="0"/>
              <w:rPr>
                <w:rFonts w:ascii="Arial" w:cs="Arial" w:eastAsia="Arial" w:hAnsi="Arial"/>
                <w:sz w:val="13"/>
                <w:szCs w:val="13"/>
                <w:color w:val="0000EE"/>
                <w:w w:val="77"/>
              </w:rPr>
            </w:pPr>
            <w:hyperlink w:anchor="page35">
              <w:r>
                <w:rPr>
                  <w:rFonts w:ascii="Arial" w:cs="Arial" w:eastAsia="Arial" w:hAnsi="Arial"/>
                  <w:sz w:val="13"/>
                  <w:szCs w:val="13"/>
                  <w:color w:val="0000EE"/>
                  <w:w w:val="77"/>
                </w:rPr>
                <w:t>11.</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gridSpan w:val="23"/>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SECURITY OWNERSHIP OF CERTAIN BENEFICIAL OWNERS AND</w:t>
              </w:r>
            </w:hyperlink>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ITEM</w:t>
              </w:r>
            </w:hyperlink>
          </w:p>
        </w:tc>
        <w:tc>
          <w:tcPr>
            <w:tcW w:w="632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top w:val="single" w:sz="8" w:color="0000EE"/>
            </w:tcBorders>
          </w:tcPr>
          <w:p>
            <w:pPr>
              <w:spacing w:after="0"/>
              <w:rPr>
                <w:rFonts w:ascii="Arial" w:cs="Arial" w:eastAsia="Arial" w:hAnsi="Arial"/>
                <w:sz w:val="13"/>
                <w:szCs w:val="13"/>
                <w:color w:val="0000EE"/>
                <w:w w:val="77"/>
              </w:rPr>
            </w:pPr>
            <w:hyperlink w:anchor="page36">
              <w:r>
                <w:rPr>
                  <w:rFonts w:ascii="Arial" w:cs="Arial" w:eastAsia="Arial" w:hAnsi="Arial"/>
                  <w:sz w:val="13"/>
                  <w:szCs w:val="13"/>
                  <w:color w:val="0000EE"/>
                  <w:w w:val="77"/>
                </w:rPr>
                <w:t>12</w:t>
              </w:r>
              <w:r>
                <w:rPr>
                  <w:rFonts w:ascii="Arial" w:cs="Arial" w:eastAsia="Arial" w:hAnsi="Arial"/>
                  <w:sz w:val="13"/>
                  <w:szCs w:val="13"/>
                  <w:color w:val="000000"/>
                  <w:w w:val="77"/>
                </w:rPr>
                <w:t>.</w:t>
              </w:r>
            </w:hyperlink>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380" w:type="dxa"/>
            <w:vAlign w:val="bottom"/>
            <w:tcBorders>
              <w:top w:val="single" w:sz="8" w:color="0000EE"/>
            </w:tcBorders>
            <w:gridSpan w:val="18"/>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MANAGEMENT AND RELATED STOCKHOLDER MATTERS</w:t>
              </w:r>
            </w:hyperlink>
          </w:p>
        </w:tc>
        <w:tc>
          <w:tcPr>
            <w:tcW w:w="9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00" w:type="dxa"/>
            <w:vAlign w:val="bottom"/>
            <w:gridSpan w:val="9"/>
            <w:vMerge w:val="restart"/>
          </w:tcPr>
          <w:p>
            <w:pPr>
              <w:ind w:left="140"/>
              <w:spacing w:after="0" w:line="17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AND DIRECTOR</w:t>
              </w:r>
            </w:hyperlink>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ITEM</w:t>
              </w:r>
            </w:hyperlink>
          </w:p>
        </w:tc>
        <w:tc>
          <w:tcPr>
            <w:tcW w:w="4820" w:type="dxa"/>
            <w:vAlign w:val="bottom"/>
            <w:gridSpan w:val="14"/>
          </w:tcPr>
          <w:p>
            <w:pPr>
              <w:spacing w:after="0" w:line="15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CERTAIN RELATIONSHIPS AND RELATED TRANSACTIONS,</w:t>
              </w:r>
            </w:hyperlink>
          </w:p>
        </w:tc>
        <w:tc>
          <w:tcPr>
            <w:tcW w:w="15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top w:val="single" w:sz="8" w:color="0000EE"/>
            </w:tcBorders>
          </w:tcPr>
          <w:p>
            <w:pPr>
              <w:spacing w:after="0"/>
              <w:rPr>
                <w:rFonts w:ascii="Arial" w:cs="Arial" w:eastAsia="Arial" w:hAnsi="Arial"/>
                <w:sz w:val="13"/>
                <w:szCs w:val="13"/>
                <w:color w:val="0000EE"/>
                <w:w w:val="77"/>
              </w:rPr>
            </w:pPr>
            <w:hyperlink w:anchor="page36">
              <w:r>
                <w:rPr>
                  <w:rFonts w:ascii="Arial" w:cs="Arial" w:eastAsia="Arial" w:hAnsi="Arial"/>
                  <w:sz w:val="13"/>
                  <w:szCs w:val="13"/>
                  <w:color w:val="0000EE"/>
                  <w:w w:val="77"/>
                </w:rPr>
                <w:t>13</w:t>
              </w:r>
              <w:r>
                <w:rPr>
                  <w:rFonts w:ascii="Arial" w:cs="Arial" w:eastAsia="Arial" w:hAnsi="Arial"/>
                  <w:sz w:val="13"/>
                  <w:szCs w:val="13"/>
                  <w:color w:val="000000"/>
                  <w:w w:val="77"/>
                </w:rPr>
                <w:t>.</w:t>
              </w:r>
            </w:hyperlink>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0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INDEPENDENCE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ITEM</w:t>
              </w:r>
            </w:hyperlink>
          </w:p>
        </w:tc>
        <w:tc>
          <w:tcPr>
            <w:tcW w:w="6320" w:type="dxa"/>
            <w:vAlign w:val="bottom"/>
            <w:gridSpan w:val="23"/>
          </w:tcPr>
          <w:p>
            <w:pPr>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PRINCIPAL ACCOUNTANT FEES AND SERVICES</w:t>
              </w:r>
            </w:hyperlink>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top w:val="single" w:sz="8" w:color="0000EE"/>
            </w:tcBorders>
          </w:tcPr>
          <w:p>
            <w:pPr>
              <w:spacing w:after="0"/>
              <w:rPr>
                <w:rFonts w:ascii="Arial" w:cs="Arial" w:eastAsia="Arial" w:hAnsi="Arial"/>
                <w:sz w:val="13"/>
                <w:szCs w:val="13"/>
                <w:color w:val="0000EE"/>
                <w:w w:val="77"/>
              </w:rPr>
            </w:pPr>
            <w:hyperlink w:anchor="page36">
              <w:r>
                <w:rPr>
                  <w:rFonts w:ascii="Arial" w:cs="Arial" w:eastAsia="Arial" w:hAnsi="Arial"/>
                  <w:sz w:val="13"/>
                  <w:szCs w:val="13"/>
                  <w:color w:val="0000EE"/>
                  <w:w w:val="77"/>
                </w:rPr>
                <w:t>14</w:t>
              </w:r>
              <w:r>
                <w:rPr>
                  <w:rFonts w:ascii="Arial" w:cs="Arial" w:eastAsia="Arial" w:hAnsi="Arial"/>
                  <w:sz w:val="13"/>
                  <w:szCs w:val="13"/>
                  <w:color w:val="000000"/>
                  <w:w w:val="77"/>
                </w:rPr>
                <w:t>.</w:t>
              </w:r>
            </w:hyperlink>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8"/>
          </w:tcPr>
          <w:p>
            <w:pPr>
              <w:spacing w:after="0"/>
              <w:rPr>
                <w:sz w:val="20"/>
                <w:szCs w:val="20"/>
                <w:color w:val="auto"/>
              </w:rPr>
            </w:pPr>
            <w:r>
              <w:rPr>
                <w:rFonts w:ascii="Arial" w:cs="Arial" w:eastAsia="Arial" w:hAnsi="Arial"/>
                <w:sz w:val="18"/>
                <w:szCs w:val="18"/>
                <w:color w:val="auto"/>
              </w:rPr>
              <w:t>PART IV</w:t>
            </w:r>
          </w:p>
        </w:tc>
        <w:tc>
          <w:tcPr>
            <w:tcW w:w="4060" w:type="dxa"/>
            <w:vAlign w:val="bottom"/>
            <w:gridSpan w:val="12"/>
            <w:vMerge w:val="restart"/>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EXHIBITS, FINANCIAL STATEMENT SCHEDULES</w:t>
              </w:r>
            </w:hyperlink>
          </w:p>
        </w:tc>
        <w:tc>
          <w:tcPr>
            <w:tcW w:w="226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40" w:type="dxa"/>
            <w:vAlign w:val="bottom"/>
            <w:tcBorders>
              <w:bottom w:val="single" w:sz="8" w:color="0000EE"/>
            </w:tcBorders>
            <w:gridSpan w:val="3"/>
          </w:tcPr>
          <w:p>
            <w:pPr>
              <w:spacing w:after="0" w:line="189"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ITEM</w:t>
              </w:r>
            </w:hyperlink>
          </w:p>
        </w:tc>
        <w:tc>
          <w:tcPr>
            <w:tcW w:w="440" w:type="dxa"/>
            <w:vAlign w:val="bottom"/>
            <w:gridSpan w:val="4"/>
          </w:tcPr>
          <w:p>
            <w:pPr>
              <w:spacing w:after="0"/>
              <w:rPr>
                <w:sz w:val="16"/>
                <w:szCs w:val="16"/>
                <w:color w:val="auto"/>
              </w:rPr>
            </w:pPr>
          </w:p>
        </w:tc>
        <w:tc>
          <w:tcPr>
            <w:tcW w:w="4060" w:type="dxa"/>
            <w:vAlign w:val="bottom"/>
            <w:tcBorders>
              <w:bottom w:val="single" w:sz="8" w:color="0000EE"/>
            </w:tcBorders>
            <w:gridSpan w:val="12"/>
            <w:vMerge w:val="continue"/>
          </w:tcPr>
          <w:p>
            <w:pPr>
              <w:spacing w:after="0"/>
              <w:rPr>
                <w:sz w:val="16"/>
                <w:szCs w:val="16"/>
                <w:color w:val="auto"/>
              </w:rPr>
            </w:pPr>
          </w:p>
        </w:tc>
        <w:tc>
          <w:tcPr>
            <w:tcW w:w="22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bottom w:val="single" w:sz="8" w:color="0000EE"/>
            </w:tcBorders>
          </w:tcPr>
          <w:p>
            <w:pPr>
              <w:spacing w:after="0"/>
              <w:rPr>
                <w:rFonts w:ascii="Arial" w:cs="Arial" w:eastAsia="Arial" w:hAnsi="Arial"/>
                <w:sz w:val="13"/>
                <w:szCs w:val="13"/>
                <w:color w:val="0000EE"/>
                <w:w w:val="77"/>
              </w:rPr>
            </w:pPr>
            <w:hyperlink w:anchor="page37">
              <w:r>
                <w:rPr>
                  <w:rFonts w:ascii="Arial" w:cs="Arial" w:eastAsia="Arial" w:hAnsi="Arial"/>
                  <w:sz w:val="13"/>
                  <w:szCs w:val="13"/>
                  <w:color w:val="0000EE"/>
                  <w:w w:val="77"/>
                </w:rPr>
                <w:t>15.</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gridSpan w:val="23"/>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FORM 10-K SUMMARY</w:t>
              </w:r>
            </w:hyperlink>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880" w:type="dxa"/>
            <w:vAlign w:val="bottom"/>
            <w:gridSpan w:val="7"/>
          </w:tcPr>
          <w:p>
            <w:pPr>
              <w:spacing w:after="0" w:line="156" w:lineRule="exact"/>
              <w:rPr>
                <w:rFonts w:ascii="Arial" w:cs="Arial" w:eastAsia="Arial" w:hAnsi="Arial"/>
                <w:sz w:val="18"/>
                <w:szCs w:val="18"/>
                <w:color w:val="0000EE"/>
              </w:rPr>
            </w:pPr>
            <w:hyperlink w:anchor="page37">
              <w:r>
                <w:rPr>
                  <w:rFonts w:ascii="Arial" w:cs="Arial" w:eastAsia="Arial" w:hAnsi="Arial"/>
                  <w:sz w:val="18"/>
                  <w:szCs w:val="18"/>
                  <w:color w:val="0000EE"/>
                </w:rPr>
                <w:t>ITEM</w:t>
              </w:r>
            </w:hyperlink>
          </w:p>
        </w:tc>
        <w:tc>
          <w:tcPr>
            <w:tcW w:w="632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180" w:type="dxa"/>
            <w:vAlign w:val="bottom"/>
            <w:tcBorders>
              <w:top w:val="single" w:sz="8" w:color="0000EE"/>
              <w:bottom w:val="single" w:sz="8" w:color="0000EE"/>
            </w:tcBorders>
          </w:tcPr>
          <w:p>
            <w:pPr>
              <w:spacing w:after="0"/>
              <w:rPr>
                <w:rFonts w:ascii="Arial" w:cs="Arial" w:eastAsia="Arial" w:hAnsi="Arial"/>
                <w:sz w:val="13"/>
                <w:szCs w:val="13"/>
                <w:color w:val="0000EE"/>
                <w:w w:val="77"/>
              </w:rPr>
            </w:pPr>
            <w:hyperlink w:anchor="page37">
              <w:r>
                <w:rPr>
                  <w:rFonts w:ascii="Arial" w:cs="Arial" w:eastAsia="Arial" w:hAnsi="Arial"/>
                  <w:sz w:val="13"/>
                  <w:szCs w:val="13"/>
                  <w:color w:val="0000EE"/>
                  <w:w w:val="77"/>
                </w:rPr>
                <w:t>16.</w:t>
              </w:r>
            </w:hyperlink>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SIGNATURES</w:t>
              </w:r>
            </w:hyperlink>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-5280025</wp:posOffset>
            </wp:positionV>
            <wp:extent cx="6309360"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-5031105</wp:posOffset>
            </wp:positionV>
            <wp:extent cx="630936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-4585335</wp:posOffset>
            </wp:positionV>
            <wp:extent cx="63093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-4311015</wp:posOffset>
            </wp:positionV>
            <wp:extent cx="63093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-4062730</wp:posOffset>
            </wp:positionV>
            <wp:extent cx="6309360"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1111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-3616960</wp:posOffset>
            </wp:positionV>
            <wp:extent cx="63093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-3256915</wp:posOffset>
            </wp:positionV>
            <wp:extent cx="630936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-2896870</wp:posOffset>
            </wp:positionV>
            <wp:extent cx="630936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-2451100</wp:posOffset>
            </wp:positionV>
            <wp:extent cx="630936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-2116455</wp:posOffset>
            </wp:positionV>
            <wp:extent cx="630936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9360" cy="1111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-1782445</wp:posOffset>
            </wp:positionV>
            <wp:extent cx="630936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-1336675</wp:posOffset>
            </wp:positionV>
            <wp:extent cx="630936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-890905</wp:posOffset>
            </wp:positionV>
            <wp:extent cx="630936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9360"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-668020</wp:posOffset>
            </wp:positionV>
            <wp:extent cx="630936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-222250</wp:posOffset>
            </wp:positionV>
            <wp:extent cx="6309360"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9360"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6309360"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9360" cy="111125"/>
                    </a:xfrm>
                    <a:prstGeom prst="rect">
                      <a:avLst/>
                    </a:prstGeom>
                    <a:noFill/>
                  </pic:spPr>
                </pic:pic>
              </a:graphicData>
            </a:graphic>
          </wp:anchor>
        </w:drawing>
      </w:r>
    </w:p>
    <w:p>
      <w:pPr>
        <w:spacing w:after="0" w:line="168" w:lineRule="exact"/>
        <w:rPr>
          <w:sz w:val="20"/>
          <w:szCs w:val="20"/>
          <w:color w:val="auto"/>
        </w:rPr>
      </w:pPr>
    </w:p>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773430</wp:posOffset>
            </wp:positionV>
            <wp:extent cx="635190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ectPr>
          <w:pgSz w:w="11900" w:h="16838" w:orient="portrait"/>
          <w:cols w:equalWidth="0" w:num="2">
            <w:col w:w="8980" w:space="720"/>
            <w:col w:w="180"/>
          </w:cols>
          <w:pgMar w:left="980" w:top="111" w:right="10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and man-made tiles, setting and maintenance materials, and related accessories in the United States. Our assortment includes approximately 6,000 products from around the world. Natural stone products include marble, travertine, granite, quartz, sandstone, slate, and onyx tiles. Man-made products include ceramic, porcelain, glass, cement, wood look, and metal tiles.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2019, we operated 142 stores in 31 states and the District of Columbia, with an average size of approximately 20,000 square feet.</w:t>
      </w:r>
    </w:p>
    <w:p>
      <w:pPr>
        <w:spacing w:after="0" w:line="128"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and man-made tiles, setting and maintenance materials, and related accessories in the United States.</w:t>
      </w:r>
    </w:p>
    <w:p>
      <w:pPr>
        <w:spacing w:after="0" w:line="114"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In 2019, we reported net sales and loss from operations of $340.4 million and $1.4 million, respectively. Our 2018 and 2017 net sales were $357.3 million and $344.6 million, respectively, and our 2018 and 2017 income from operations was $18.1 million and $25.8 million, respectively. We opened four new stores, relocated one store, and closed two stores in 2019. We plan to open one new store in 2020. As of December 31, 2019 and 2018, we had total assets of $399.8 million and $297.6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21" w:lineRule="exact"/>
        <w:rPr>
          <w:sz w:val="20"/>
          <w:szCs w:val="20"/>
          <w:color w:val="auto"/>
        </w:rPr>
      </w:pPr>
    </w:p>
    <w:p>
      <w:pPr>
        <w:spacing w:after="0" w:line="224" w:lineRule="auto"/>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approximately 6,000 natural stone and made-made tile products, setting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materials, accessories, and tools. We are able to maintain competitive prices by purchasing tile and accessories directly from producers and manufacturing our own setting and maintenance materials.</w:t>
      </w:r>
    </w:p>
    <w:p>
      <w:pPr>
        <w:spacing w:after="0" w:line="122"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i w:val="1"/>
          <w:iCs w:val="1"/>
          <w:color w:val="auto"/>
        </w:rPr>
        <w:t xml:space="preserve">Customer Service and Satisfaction – </w:t>
      </w:r>
      <w:r>
        <w:rPr>
          <w:rFonts w:ascii="Arial" w:cs="Arial" w:eastAsia="Arial" w:hAnsi="Arial"/>
          <w:sz w:val="18"/>
          <w:szCs w:val="18"/>
          <w:color w:val="auto"/>
        </w:rPr>
        <w:t>Our sales personnel are highly-trained and knowledgeable about the technical and design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In addition, we provide one-on-one installation training as required to meet customer needs. We accept returns up to three months following the date of the sale, with no restocking fees.</w:t>
      </w:r>
    </w:p>
    <w:p>
      <w:pPr>
        <w:spacing w:after="0" w:line="122"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w:t>
      </w:r>
      <w:r>
        <w:rPr>
          <w:rFonts w:ascii="Arial" w:cs="Arial" w:eastAsia="Arial" w:hAnsi="Arial"/>
          <w:sz w:val="18"/>
          <w:szCs w:val="18"/>
          <w:i w:val="1"/>
          <w:iCs w:val="1"/>
          <w:color w:val="auto"/>
        </w:rPr>
        <w:t xml:space="preserve"> </w:t>
      </w:r>
      <w:r>
        <w:rPr>
          <w:rFonts w:ascii="Arial" w:cs="Arial" w:eastAsia="Arial" w:hAnsi="Arial"/>
          <w:sz w:val="18"/>
          <w:szCs w:val="18"/>
          <w:color w:val="auto"/>
        </w:rPr>
        <w:t>to 50 different vignettes of bathrooms, kitchens, fireplaces, foyers, and other distinct spaces. Our stores are spacious, well-lit, and organized by product type to simplify our customers’ shopping experience.</w:t>
      </w:r>
    </w:p>
    <w:p>
      <w:pPr>
        <w:spacing w:after="0" w:line="12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i w:val="1"/>
          <w:iCs w:val="1"/>
          <w:color w:val="auto"/>
        </w:rPr>
        <w:t xml:space="preserve">Global Sourcing Capabilities – </w:t>
      </w:r>
      <w:r>
        <w:rPr>
          <w:rFonts w:ascii="Arial" w:cs="Arial" w:eastAsia="Arial" w:hAnsi="Arial"/>
          <w:sz w:val="17"/>
          <w:szCs w:val="17"/>
          <w:color w:val="auto"/>
        </w:rPr>
        <w:t>We have long-standing relationships with our tile suppliers throughout the world and work with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products exclusively for us. We believe that these direct relationships differentiate us from our competitors.</w:t>
      </w:r>
    </w:p>
    <w:p>
      <w:pPr>
        <w:spacing w:after="0" w:line="106" w:lineRule="exact"/>
        <w:rPr>
          <w:sz w:val="20"/>
          <w:szCs w:val="20"/>
          <w:color w:val="auto"/>
        </w:rPr>
      </w:pPr>
    </w:p>
    <w:p>
      <w:pPr>
        <w:ind w:right="360"/>
        <w:spacing w:after="0" w:line="224" w:lineRule="auto"/>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helps us to differentiate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from those of our competitors. We offer products across a range of price points and quality levels, which allows us to target discrete market segments and to appeal to diverse groups of customers.</w:t>
      </w:r>
    </w:p>
    <w:p>
      <w:pPr>
        <w:spacing w:after="0" w:line="122"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i w:val="1"/>
          <w:iCs w:val="1"/>
          <w:color w:val="auto"/>
        </w:rPr>
        <w:t xml:space="preserve">Centralized Distribution System – </w:t>
      </w:r>
      <w:r>
        <w:rPr>
          <w:rFonts w:ascii="Arial" w:cs="Arial" w:eastAsia="Arial" w:hAnsi="Arial"/>
          <w:sz w:val="16"/>
          <w:szCs w:val="16"/>
          <w:color w:val="auto"/>
        </w:rPr>
        <w:t>We service our store locations from five distribution centers. Our distribution centers,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Michigan, Oklahoma, New Jersey, Virginia, and Wisconsin, are located to cost effectively service our existing stores.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are committed to carrying the best assortment, offering the best service, and showcasing the best presentation in our industry. These principles have always been core to our strategy and will continue to be as we move into 2020. Over the last two years we have made a number of different investments to position the Company for long-term growth. As we move into 2020, we are focused on internal execution and generating a profitable return on these investments.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2020 strategy include:</w:t>
      </w:r>
    </w:p>
    <w:p>
      <w:pPr>
        <w:spacing w:after="0" w:line="14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i w:val="1"/>
          <w:iCs w:val="1"/>
          <w:color w:val="auto"/>
        </w:rPr>
        <w:t xml:space="preserve">Focused Retail Execution </w:t>
      </w:r>
      <w:r>
        <w:rPr>
          <w:rFonts w:ascii="Arial" w:cs="Arial" w:eastAsia="Arial" w:hAnsi="Arial"/>
          <w:sz w:val="18"/>
          <w:szCs w:val="18"/>
          <w:color w:val="auto"/>
        </w:rPr>
        <w:t>– Over the last year, we have implemented a number of enhancements to our new enterprise resource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(“ERP”) system and now have reporting that provides visibility to key business trends giving our store, regional, and corporate management teams the tools needed to pinpoint inefficiencies and take corrective action. We have defined critical success measures for each of our stores, worked with our store leaders to develop action plans, and have the support structure in place to help our teams achieve their goals.</w:t>
      </w:r>
    </w:p>
    <w:p>
      <w:pPr>
        <w:spacing w:after="0" w:line="122" w:lineRule="exact"/>
        <w:rPr>
          <w:sz w:val="20"/>
          <w:szCs w:val="20"/>
          <w:color w:val="auto"/>
        </w:rPr>
      </w:pPr>
    </w:p>
    <w:p>
      <w:pPr>
        <w:ind w:right="200"/>
        <w:spacing w:after="0" w:line="228" w:lineRule="auto"/>
        <w:rPr>
          <w:sz w:val="20"/>
          <w:szCs w:val="20"/>
          <w:color w:val="auto"/>
        </w:rPr>
      </w:pPr>
      <w:r>
        <w:rPr>
          <w:rFonts w:ascii="Arial" w:cs="Arial" w:eastAsia="Arial" w:hAnsi="Arial"/>
          <w:sz w:val="17"/>
          <w:szCs w:val="17"/>
          <w:i w:val="1"/>
          <w:iCs w:val="1"/>
          <w:color w:val="auto"/>
        </w:rPr>
        <w:t xml:space="preserve">Growing Professional Sales </w:t>
      </w:r>
      <w:r>
        <w:rPr>
          <w:rFonts w:ascii="Arial" w:cs="Arial" w:eastAsia="Arial" w:hAnsi="Arial"/>
          <w:sz w:val="17"/>
          <w:szCs w:val="17"/>
          <w:color w:val="auto"/>
        </w:rPr>
        <w:t>– We are committed to providing the best service to our professional customers and the customers they</w:t>
      </w:r>
      <w:r>
        <w:rPr>
          <w:rFonts w:ascii="Arial" w:cs="Arial" w:eastAsia="Arial" w:hAnsi="Arial"/>
          <w:sz w:val="17"/>
          <w:szCs w:val="17"/>
          <w:i w:val="1"/>
          <w:iCs w:val="1"/>
          <w:color w:val="auto"/>
        </w:rPr>
        <w:t xml:space="preserve"> </w:t>
      </w:r>
      <w:r>
        <w:rPr>
          <w:rFonts w:ascii="Arial" w:cs="Arial" w:eastAsia="Arial" w:hAnsi="Arial"/>
          <w:sz w:val="17"/>
          <w:szCs w:val="17"/>
          <w:color w:val="auto"/>
        </w:rPr>
        <w:t>serve. We have a seasoned team of pro market managers in place with the experience to effectively cultivate relationships with professional customers. Our loyalty program continues to gain traction and we believe the rewards available to professional customers provide a meaningful incentive for pros to grow their business with us. We also plan to add several new products for professional customers in 2020 to help augment our existing pro product offerings.</w:t>
      </w:r>
    </w:p>
    <w:p>
      <w:pPr>
        <w:spacing w:after="0" w:line="125"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i w:val="1"/>
          <w:iCs w:val="1"/>
          <w:color w:val="auto"/>
        </w:rPr>
        <w:t xml:space="preserve">Disciplined Expense Management </w:t>
      </w:r>
      <w:r>
        <w:rPr>
          <w:rFonts w:ascii="Arial" w:cs="Arial" w:eastAsia="Arial" w:hAnsi="Arial"/>
          <w:sz w:val="16"/>
          <w:szCs w:val="16"/>
          <w:color w:val="auto"/>
        </w:rPr>
        <w:t>– Over the last six months, we have identified and implemented a number of different initiatives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level of our brand advertising, information technology (“IT”) consulting, staffing, and public company costs. We are committed to these initiatives and will explore other expense savings opportunities in pursuit of our return to profitability</w:t>
      </w:r>
      <w:r>
        <w:rPr>
          <w:rFonts w:ascii="Arial" w:cs="Arial" w:eastAsia="Arial" w:hAnsi="Arial"/>
          <w:sz w:val="16"/>
          <w:szCs w:val="16"/>
          <w:i w:val="1"/>
          <w:iCs w:val="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4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Customers can choose to have their purchases delivered or picked up at one of our stores. We believe this strategy also positions us well with professional customers who are influenced by the preferences of individual homeowners.</w:t>
      </w:r>
    </w:p>
    <w:p>
      <w:pPr>
        <w:spacing w:after="0" w:line="124"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22"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Unlike many of our competitors, we devote a substantial portion of our store space to showrooms, including samples of our approximately 6,000 products and up to 50 different vignettes of bathrooms, kitchens, fireplaces, foyers,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12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A staffing model for a typical store consists of a manager, an assistant manager, sales associates, and a warehouse leader. Our store managers are responsible for store operations and for overseeing our customers’ shopping experience. We offer financing to customers through a branded credit card provided by a third-party consumer finance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4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and traditional media vehicles, including newspaper circular/print ads, radio, video and out-of-home advertising. We continually test and learn from new media and adjust our programs based on performance.</w:t>
      </w:r>
    </w:p>
    <w:p>
      <w:pPr>
        <w:spacing w:after="0" w:line="12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4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We offer an extensive and complete assortment of natural stone and man-made tile products, sourced directly from our suppliers. Natural stone products include marble, travertine, granite, quartz, sandstone, slate, and onyx tiles. Man-made products include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ceramic, porcelain, glass, cement, wood look, and metal tiles. Our wide assortment of accessories, including trim pieces, mosaics, pencils, listellos, and other unique products, encourages our customers to make a fashion statement with their tile project and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approximately 6,000 different tile products, setting and maintenance materials, and accessory products. The percentage of our net sales represented by each product category was as follows for the years ended December 31, 2019 and 2018:</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4040" w:type="dxa"/>
            <w:vAlign w:val="bottom"/>
            <w:gridSpan w:val="3"/>
          </w:tcPr>
          <w:p>
            <w:pPr>
              <w:ind w:left="1900"/>
              <w:spacing w:after="0"/>
              <w:rPr>
                <w:sz w:val="20"/>
                <w:szCs w:val="20"/>
                <w:color w:val="auto"/>
              </w:rPr>
            </w:pPr>
            <w:r>
              <w:rPr>
                <w:rFonts w:ascii="Arial" w:cs="Arial" w:eastAsia="Arial" w:hAnsi="Arial"/>
                <w:sz w:val="18"/>
                <w:szCs w:val="18"/>
                <w:color w:val="auto"/>
                <w:w w:val="95"/>
              </w:rPr>
              <w:t>Years Ended December 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right"/>
              <w:ind w:right="1090"/>
              <w:spacing w:after="0" w:line="203" w:lineRule="exact"/>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47 %</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Natural stone tiles</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Accessories</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2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Suppliers</w:t>
            </w: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c>
          <w:tcPr>
            <w:tcW w:w="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We have long-standing relationships with our suppliers throughout the world and work with them to design and manufacture products exclusively for us. We believe that these direct relationships differentiate us from our competitors.</w:t>
      </w:r>
    </w:p>
    <w:p>
      <w:pPr>
        <w:spacing w:after="0" w:line="121" w:lineRule="exact"/>
        <w:rPr>
          <w:sz w:val="20"/>
          <w:szCs w:val="20"/>
          <w:color w:val="auto"/>
        </w:rPr>
      </w:pPr>
    </w:p>
    <w:p>
      <w:pPr>
        <w:jc w:val="both"/>
        <w:ind w:right="100"/>
        <w:spacing w:after="0" w:line="219" w:lineRule="auto"/>
        <w:rPr>
          <w:sz w:val="20"/>
          <w:szCs w:val="20"/>
          <w:color w:val="auto"/>
        </w:rPr>
      </w:pPr>
      <w:r>
        <w:rPr>
          <w:rFonts w:ascii="Arial" w:cs="Arial" w:eastAsia="Arial" w:hAnsi="Arial"/>
          <w:sz w:val="18"/>
          <w:szCs w:val="18"/>
          <w:color w:val="auto"/>
        </w:rPr>
        <w:t>We currently purchase tile products from approximately 200 different suppliers. Our top ten tile suppliers accounted for 49% of our tile purchases in 2019. Our largest supplier accounted for approximately 12% of our total purchases in 2019. We believe that alternative and competitive suppliers are available for many of our products. The percentage of our total purchases from the following continents was as follows for the years ended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4040" w:type="dxa"/>
            <w:vAlign w:val="bottom"/>
            <w:gridSpan w:val="3"/>
          </w:tcPr>
          <w:p>
            <w:pPr>
              <w:ind w:left="1900"/>
              <w:spacing w:after="0"/>
              <w:rPr>
                <w:sz w:val="20"/>
                <w:szCs w:val="20"/>
                <w:color w:val="auto"/>
              </w:rPr>
            </w:pPr>
            <w:r>
              <w:rPr>
                <w:rFonts w:ascii="Arial" w:cs="Arial" w:eastAsia="Arial" w:hAnsi="Arial"/>
                <w:sz w:val="18"/>
                <w:szCs w:val="18"/>
                <w:color w:val="auto"/>
                <w:w w:val="95"/>
              </w:rPr>
              <w:t>Years Ended December 31,</w:t>
            </w:r>
          </w:p>
        </w:tc>
        <w:tc>
          <w:tcPr>
            <w:tcW w:w="1740" w:type="dxa"/>
            <w:vAlign w:val="bottom"/>
          </w:tcPr>
          <w:p>
            <w:pPr>
              <w:spacing w:after="0"/>
              <w:rPr>
                <w:sz w:val="19"/>
                <w:szCs w:val="19"/>
                <w:color w:val="auto"/>
              </w:rPr>
            </w:pPr>
          </w:p>
        </w:tc>
      </w:tr>
      <w:tr>
        <w:trPr>
          <w:trHeight w:val="203"/>
        </w:trPr>
        <w:tc>
          <w:tcPr>
            <w:tcW w:w="416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right"/>
              <w:ind w:right="1090"/>
              <w:spacing w:after="0" w:line="203" w:lineRule="exact"/>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110"/>
              <w:spacing w:after="0" w:line="203" w:lineRule="exact"/>
              <w:rPr>
                <w:sz w:val="20"/>
                <w:szCs w:val="20"/>
                <w:color w:val="auto"/>
              </w:rPr>
            </w:pPr>
            <w:r>
              <w:rPr>
                <w:rFonts w:ascii="Arial" w:cs="Arial" w:eastAsia="Arial" w:hAnsi="Arial"/>
                <w:sz w:val="18"/>
                <w:szCs w:val="18"/>
                <w:color w:val="auto"/>
              </w:rPr>
              <w:t>2018</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Europe (including Turkey)</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36 %</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31 %</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North America</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21</w:t>
            </w: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w:t>
            </w:r>
          </w:p>
        </w:tc>
      </w:tr>
      <w:tr>
        <w:trPr>
          <w:trHeight w:val="230"/>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South America</w:t>
            </w:r>
          </w:p>
        </w:tc>
        <w:tc>
          <w:tcPr>
            <w:tcW w:w="2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r>
      <w:tr>
        <w:trPr>
          <w:trHeight w:val="216"/>
        </w:trPr>
        <w:tc>
          <w:tcPr>
            <w:tcW w:w="416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During 2018, we made the decision to diversify our source of supply and shift sourcing of certain products manufactured in China to other parts of the world. We successfully completed this work in 2019 which resulted in a decrease in the volume of products purchased from Asia and an increase in the percentage of products purchased from suppliers based in Europe, North America, and South America.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48"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We take possession of our products in the country of origin and arrange for transportation to our five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06"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We fulfill customer orders primarily by shipping our products to our stores where customers can either pick them up or arrange for home delivery. We continue to evaluate logistics alternatives to best serve our store base and our customers. We believe that our existing distribution facilities will continue to play an integral role in our growth strategy, and we expect to establish one or more additional distribution centers to support geographic expansion of our store base and to support our store growth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2" w:right="9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of our competitors enjoy competitive advantages over us, such as greater name recognition, longer operating histories, more varied product offerings, and greater financial, technical, and other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ind w:left="640" w:hanging="320"/>
        <w:spacing w:after="0" w:line="211" w:lineRule="auto"/>
        <w:tabs>
          <w:tab w:leader="none" w:pos="6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product assortment;</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product presentation;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customer service;</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store location;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availability of inventory;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price.</w:t>
      </w:r>
    </w:p>
    <w:p>
      <w:pPr>
        <w:spacing w:after="0" w:line="137"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As of December 31, 2019, we had 1,638 employees, 1,531 of whom were full-time and none of whom were represented by a union. Of these employees, 1,228 work in our stores, 88 work in corporate, store support, infrastructure or similar functions, and 322 work in distribution and manufacturing facilities. We believe that we have good relations with our employees.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distribution and manufacturing facilities in accordance with standards and procedures designed to comply with applicable laws, codes, and regulations.</w:t>
      </w:r>
    </w:p>
    <w:p>
      <w:pPr>
        <w:spacing w:after="0" w:line="12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spacing w:after="0" w:line="118"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 xml:space="preserve">regarding issuers that file electronically with the SEC. These materials may be obtained electronically by accessing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2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auto"/>
        </w:rPr>
        <w:t>www.tileshop.com</w:t>
      </w:r>
      <w:r>
        <w:rPr>
          <w:rFonts w:ascii="Arial" w:cs="Arial" w:eastAsia="Arial" w:hAnsi="Arial"/>
          <w:sz w:val="18"/>
          <w:szCs w:val="18"/>
          <w:color w:val="auto"/>
        </w:rPr>
        <w:t>, the contents of which are not part of or incorporated by reference into this report. We make our annual reports on Form 10-K, quarterly reports on Form 10-Q and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The following are significant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There may be additional risks that are not presently material or known. You should carefully consider each of the following risks and all other information set forth in this report.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grow and remain profitable may be limited by direct or indirect competition in the highly-competitive retail tile industry.</w:t>
      </w:r>
    </w:p>
    <w:p>
      <w:pPr>
        <w:spacing w:after="0" w:line="179"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 the retail industry in general is subject to rapid technological change, which may increase the amount of capital we spend in the future as we work to sustain and grow our technological infrastructure and digital commerce capabilities in order to remain competitive.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29"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We anticipate opening one new store in 2020.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2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Our same store sales fluctuate due to a variety of economic, operating, industry and environmental factors and may not be a fair indicator of our overall performance.</w:t>
      </w:r>
    </w:p>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same store sales have experienced fluctuations, which can be expected to continue. Numerous factors affect our same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retail trends, the retail sales environment, economic conditions, inflation, the impact of competition, and our ability to execute our business strategy. As a result, same store sales or operating results may fluctuate and may cause the price of our securities to fluctuate significantly. Therefore, we believe that period-to-period comparisons of our same store sales may not be a reliable indicator of our future overall operating performance.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83" w:lineRule="exact"/>
        <w:rPr>
          <w:sz w:val="20"/>
          <w:szCs w:val="20"/>
          <w:color w:val="auto"/>
        </w:rPr>
      </w:pPr>
    </w:p>
    <w:p>
      <w:pPr>
        <w:ind w:right="160"/>
        <w:spacing w:after="0" w:line="222" w:lineRule="auto"/>
        <w:rPr>
          <w:sz w:val="20"/>
          <w:szCs w:val="20"/>
          <w:color w:val="auto"/>
        </w:rPr>
      </w:pPr>
      <w:r>
        <w:rPr>
          <w:rFonts w:ascii="Arial" w:cs="Arial" w:eastAsia="Arial" w:hAnsi="Arial"/>
          <w:sz w:val="17"/>
          <w:szCs w:val="17"/>
          <w:color w:val="auto"/>
        </w:rPr>
        <w:t>Our expansion strategy includes plans to open one new store in an existing market during 2020. In future periods, we intend to continue opening stores in new and existing markets. Because our stores typically draw customers from their local areas, additional stores may draw customers away from nearby existing stores and may cause same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our same store sales and overall operating results may be reduced during the implementation of our expansion strategy.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will be dependent upon, and limited by, the availability of adequate capital.</w:t>
      </w:r>
    </w:p>
    <w:p>
      <w:pPr>
        <w:spacing w:after="0" w:line="144" w:lineRule="exact"/>
        <w:rPr>
          <w:sz w:val="20"/>
          <w:szCs w:val="20"/>
          <w:color w:val="auto"/>
        </w:rPr>
      </w:pPr>
    </w:p>
    <w:p>
      <w:pPr>
        <w:ind w:right="100"/>
        <w:spacing w:after="0" w:line="222" w:lineRule="auto"/>
        <w:rPr>
          <w:sz w:val="20"/>
          <w:szCs w:val="20"/>
          <w:color w:val="auto"/>
        </w:rPr>
      </w:pPr>
      <w:r>
        <w:rPr>
          <w:rFonts w:ascii="Arial" w:cs="Arial" w:eastAsia="Arial" w:hAnsi="Arial"/>
          <w:sz w:val="17"/>
          <w:szCs w:val="17"/>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rent adjusted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21"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w:t>
      </w:r>
    </w:p>
    <w:p>
      <w:pPr>
        <w:spacing w:after="0" w:line="12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source the approximately 6,000 products that we stock and sell from approximately 200 domestic and international suppliers. We source a large number of those products from foreign manufacturers, including 49% of our products from a group of ten suppliers located in Asia, Europe and the United States. Our largest supplier accounted for approximately 12% of our total purchases in 2019. We generally take title to these products sourced from foreign suppliers overseas and are responsible for arranging shipment to our distribution centers. Financial instability among key suppliers, political instability, trade restrictions, tariffs, currency exchange rates, and transport capacity and costs are beyond our control and could negatively impact our business if they seriously disrupt the movement of products through our supply chain or increase the costs of our products.</w:t>
      </w:r>
    </w:p>
    <w:p>
      <w:pPr>
        <w:spacing w:after="0" w:line="121"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Our reliance on foreign suppliers increases our risks of not obtaining adequate, timely and cost effective products and to the risks involved in foreign operations and foreign currency translation.</w:t>
      </w:r>
    </w:p>
    <w:p>
      <w:pPr>
        <w:spacing w:after="0" w:line="121" w:lineRule="exact"/>
        <w:rPr>
          <w:sz w:val="20"/>
          <w:szCs w:val="20"/>
          <w:color w:val="auto"/>
        </w:rPr>
      </w:pPr>
    </w:p>
    <w:p>
      <w:pPr>
        <w:ind w:right="180"/>
        <w:spacing w:after="0" w:line="222" w:lineRule="auto"/>
        <w:rPr>
          <w:sz w:val="20"/>
          <w:szCs w:val="20"/>
          <w:color w:val="auto"/>
        </w:rPr>
      </w:pPr>
      <w:r>
        <w:rPr>
          <w:rFonts w:ascii="Arial" w:cs="Arial" w:eastAsia="Arial" w:hAnsi="Arial"/>
          <w:sz w:val="17"/>
          <w:szCs w:val="17"/>
          <w:color w:val="auto"/>
        </w:rPr>
        <w:t>The risks associated with direct sourcing from overseas manufacturers may be higher than the risks associated with our traditional domestic suppliers. Foreign sourcing subjects us to a number of risks, including long lead times; work stoppages; shipping delays and interruptions; product quality issues; employee rights issues; other social concerns; public health epidemics, such as the ongoing coronavirus outbreak emanating from China, the impact of which is uncertain and which, if it persists for an extended period of time, could disrupt our global supply chain and result in significant expenses or delays outside of our control, or pandemics; political instability; acts of terrorism; economic disruptions; the imposition of tariffs, duties, quotas, import and export controls and other trade restrictions; changes in governmental policies, including potential adverse changes in tax laws and regulations; uncertainty surrounding the enforcement of laws (if any) relating to the protection of intellectual property or data security; and other events. Any of these events could have a material adverse effect on 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In addition, a novel strain of coronavirus, COVID-19, surfaced in Wuhan, China in December 2019, resulting in increased travel restrictions and extended shutdown of certain businesses in the region. The impact of COVID-19 on our business is uncertain at this time and will depend on future developments; however, prolonged closures in China may disrupt our operations or the operations of certain of our suppliers, which could negatively impact our business.</w:t>
      </w:r>
    </w:p>
    <w:p>
      <w:pPr>
        <w:spacing w:after="0" w:line="163"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In addition, reductions in the value of the U.S. dollar or revaluation of foreign currencies used could ultimately increase the prices that we pay for our products.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 and regulations applicable to the importation of our products. If duties were to be significantly increased, it could have a material adverse impact on us.</w:t>
      </w:r>
    </w:p>
    <w:p>
      <w:pPr>
        <w:spacing w:after="0" w:line="162"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21"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If our suppliers cannot deliver sufficient products, and we cannot find replacement suppliers, our net sales and operating results may be adversely affected.</w:t>
      </w:r>
    </w:p>
    <w:p>
      <w:pPr>
        <w:spacing w:after="0" w:line="122"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b w:val="1"/>
          <w:bCs w:val="1"/>
          <w:i w:val="1"/>
          <w:iCs w:val="1"/>
          <w:color w:val="auto"/>
        </w:rPr>
        <w:t>If customers are unable to obtain third-party financing at satisfactory rates, sales of our products could be materially adversely affected.</w:t>
      </w:r>
    </w:p>
    <w:p>
      <w:pPr>
        <w:spacing w:after="0" w:line="121"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Deterioration in the current economic environment could lead to reduced consumer and business spending, including by our customers. It may also cause customers to shift their spending to products that we either do not sell or that generate lower profitability for us. Further,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12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Any failure by us to successfully anticipate consumer trends may lead to loss of consumer acceptance of our products, resulting in reduced revenues.</w:t>
      </w:r>
    </w:p>
    <w:p>
      <w:pPr>
        <w:spacing w:after="0" w:line="12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could cause customers to seek alternative sources of such products, as well as other products they may have purchased from us, which could also reduce our revenues.</w:t>
      </w:r>
    </w:p>
    <w:p>
      <w:pPr>
        <w:spacing w:after="0" w:line="120"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b w:val="1"/>
          <w:bCs w:val="1"/>
          <w:i w:val="1"/>
          <w:iCs w:val="1"/>
          <w:color w:val="auto"/>
        </w:rPr>
        <w:t>We depend on a few key employees, and if we lose the services of these employees, we may not be able to run our business effectively.</w:t>
      </w:r>
    </w:p>
    <w:p>
      <w:pPr>
        <w:spacing w:after="0" w:line="121"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Our future success depends in part on our ability to attract and retain key executive, merchandising, marketing, and sales personnel. We have had changes in our senior management team over the past two years and have promoted or hired new employees to fill certain roles. Our inability to effectively integrate the newly-hired senior managers into our business processes, controls, systems and culture could have a material adverse effect on us. If any of our key employees ceases to be employed by us, we would have to hire additional qualified personnel and could experience delays in filling those roles.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w:t>
      </w:r>
    </w:p>
    <w:p>
      <w:pPr>
        <w:spacing w:after="0" w:line="16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A key element of our competitive strategy is to provide product expertise to our customers through our extensively trained, commissioned sales associates. If we are unable to attract and retain qualified personnel and managers as needed in the future, including qualified sales personnel, our level of customer service may decline, which may decrease our revenues and profitability.</w:t>
      </w:r>
    </w:p>
    <w:p>
      <w:pPr>
        <w:spacing w:after="0" w:line="163" w:lineRule="exact"/>
        <w:rPr>
          <w:sz w:val="20"/>
          <w:szCs w:val="20"/>
          <w:color w:val="auto"/>
        </w:rPr>
      </w:pPr>
    </w:p>
    <w:p>
      <w:pPr>
        <w:ind w:right="600"/>
        <w:spacing w:after="0" w:line="324" w:lineRule="auto"/>
        <w:rPr>
          <w:sz w:val="20"/>
          <w:szCs w:val="20"/>
          <w:color w:val="auto"/>
        </w:rPr>
      </w:pPr>
      <w:r>
        <w:rPr>
          <w:rFonts w:ascii="Arial" w:cs="Arial" w:eastAsia="Arial" w:hAnsi="Arial"/>
          <w:sz w:val="15"/>
          <w:szCs w:val="15"/>
          <w:b w:val="1"/>
          <w:bCs w:val="1"/>
          <w:i w:val="1"/>
          <w:iCs w:val="1"/>
          <w:color w:val="auto"/>
        </w:rPr>
        <w:t>The burden of debt under our existing credit facility and additional debt could adversely affect us, make us more vulnerable to adverse economic or industry conditions, and prevent us from fulfilling our debt obligations or from funding our strategies.</w:t>
      </w:r>
    </w:p>
    <w:p>
      <w:pPr>
        <w:spacing w:after="0" w:line="61" w:lineRule="exact"/>
        <w:rPr>
          <w:sz w:val="20"/>
          <w:szCs w:val="20"/>
          <w:color w:val="auto"/>
        </w:rPr>
      </w:pPr>
    </w:p>
    <w:p>
      <w:pPr>
        <w:ind w:right="300"/>
        <w:spacing w:after="0" w:line="219" w:lineRule="auto"/>
        <w:rPr>
          <w:sz w:val="20"/>
          <w:szCs w:val="20"/>
          <w:color w:val="auto"/>
        </w:rPr>
      </w:pPr>
      <w:r>
        <w:rPr>
          <w:rFonts w:ascii="Arial" w:cs="Arial" w:eastAsia="Arial" w:hAnsi="Arial"/>
          <w:sz w:val="18"/>
          <w:szCs w:val="18"/>
          <w:color w:val="auto"/>
        </w:rPr>
        <w:t>We entered into a credit facility with Bank of America, N.A., Fifth Third Bank and Citizens Bank on September 18, 2018. As of December 31, 2019, we had borrowed approximately $63.0 million on our revolving line of credit, leaving $35.7 million available for future borrowings. The terms of our credit facility and the burden of the indebtedness incurred thereunder could have serious consequences for us, such as:</w:t>
      </w:r>
    </w:p>
    <w:p>
      <w:pPr>
        <w:spacing w:after="0" w:line="41" w:lineRule="exact"/>
        <w:rPr>
          <w:sz w:val="20"/>
          <w:szCs w:val="20"/>
          <w:color w:val="auto"/>
        </w:rPr>
      </w:pPr>
    </w:p>
    <w:p>
      <w:pPr>
        <w:ind w:left="640" w:right="240" w:hanging="320"/>
        <w:spacing w:after="0" w:line="180" w:lineRule="auto"/>
        <w:tabs>
          <w:tab w:leader="none" w:pos="6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limiting our ability to obtain additional financing to fund our working capital, capital expenditures, debt service requirements, expansion strategy, or other needs;</w:t>
      </w:r>
    </w:p>
    <w:p>
      <w:pPr>
        <w:ind w:left="640" w:hanging="320"/>
        <w:spacing w:after="0" w:line="194" w:lineRule="auto"/>
        <w:tabs>
          <w:tab w:leader="none" w:pos="6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placing us at a competitive disadvantage compared to competitors with less debt;</w:t>
      </w:r>
    </w:p>
    <w:p>
      <w:pPr>
        <w:spacing w:after="0" w:line="56" w:lineRule="exact"/>
        <w:rPr>
          <w:rFonts w:ascii="Arial" w:cs="Arial" w:eastAsia="Arial" w:hAnsi="Arial"/>
          <w:sz w:val="29"/>
          <w:szCs w:val="29"/>
          <w:color w:val="auto"/>
          <w:vertAlign w:val="superscript"/>
        </w:rPr>
      </w:pPr>
    </w:p>
    <w:p>
      <w:pPr>
        <w:ind w:left="640" w:right="740" w:hanging="320"/>
        <w:spacing w:after="0" w:line="180" w:lineRule="auto"/>
        <w:tabs>
          <w:tab w:leader="none" w:pos="6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increasing our vulnerability to, and reducing our flexibility in planning for, adverse changes in economic, industry, and competitive conditions; and</w:t>
      </w:r>
    </w:p>
    <w:p>
      <w:pPr>
        <w:spacing w:after="0" w:line="41" w:lineRule="exact"/>
        <w:rPr>
          <w:rFonts w:ascii="Arial" w:cs="Arial" w:eastAsia="Arial" w:hAnsi="Arial"/>
          <w:sz w:val="28"/>
          <w:szCs w:val="28"/>
          <w:color w:val="auto"/>
          <w:vertAlign w:val="superscript"/>
        </w:rPr>
      </w:pPr>
    </w:p>
    <w:p>
      <w:pPr>
        <w:ind w:left="640" w:right="320" w:hanging="320"/>
        <w:spacing w:after="0" w:line="180" w:lineRule="auto"/>
        <w:tabs>
          <w:tab w:leader="none" w:pos="64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increasing our vulnerability to increases in interest rates if borrowings under the credit facility are subject to variable interest rates.</w:t>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Additionally, any future increase in the level of our indebtedness will likely increase our interest expense, which could negatively impact our profitability. Current interest rates on borrowings under our credit facility are variable and include the use of the London Interbank Offered Rate (“LIBOR”). In 2017, the United Kingdom’s Financial Conduct Authority, which regulates LIBOR, announced that it intends to phase out LIBOR by the end of 2021. In addition, other regulators have suggested reforming or replacing other benchmark rates. The expected phase out of LIBOR could cause market volatility or disruption and may adversely affect our access to the capital markets and cost of funding. Furthermore, while our credit facility contains “fallback” provisions providing for alternative rate calculations in the event LIBOR is unavailable, these “fallback” provisions may not adequately address the actual changes to LIBOR or successor rates.</w:t>
      </w:r>
    </w:p>
    <w:p>
      <w:pPr>
        <w:spacing w:after="0" w:line="12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Our credit facility also contains negative covenants that limit our ability to engage in specified types of transactions. These covenants limit our ability to, among other things:</w:t>
      </w:r>
    </w:p>
    <w:p>
      <w:pPr>
        <w:ind w:left="640" w:hanging="320"/>
        <w:spacing w:after="0" w:line="194"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incur indebtedness;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create liens;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engage in mergers or consolidations;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sell assets (including pursuant to sale and leaseback transactions);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make investments, acquisitions, loans, or advances;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engage in certain transactions with affiliates;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subsidiary distributions;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the ability to create liens;</w:t>
      </w:r>
    </w:p>
    <w:p>
      <w:pPr>
        <w:spacing w:after="0" w:line="56" w:lineRule="exact"/>
        <w:rPr>
          <w:rFonts w:ascii="Arial" w:cs="Arial" w:eastAsia="Arial" w:hAnsi="Arial"/>
          <w:sz w:val="24"/>
          <w:szCs w:val="24"/>
          <w:color w:val="auto"/>
          <w:vertAlign w:val="superscript"/>
        </w:rPr>
      </w:pPr>
    </w:p>
    <w:p>
      <w:pPr>
        <w:ind w:left="640" w:right="220" w:hanging="320"/>
        <w:spacing w:after="0" w:line="180" w:lineRule="auto"/>
        <w:tabs>
          <w:tab w:leader="none" w:pos="64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amend our organizational documents in a way that has a material effect on the lenders or administrative agent under our credit facility; and</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change our lines of business.</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A breach of any of these covenants could result in an event of default under our credit facility. Upon the occurrence of an event of default, the lender could elect to declare all amounts outstanding under such facility to be immediately due and payable and terminate all commitments to extend further credit, or seek amendments to our debt agreements that would provide for terms more favorable to such lender and that we may have to accept under the circumstances. If we were unable to repay those amounts, the lender under our credit facility could proceed against the collateral granted to it to secure that indebtedness.</w:t>
      </w:r>
    </w:p>
    <w:p>
      <w:pPr>
        <w:spacing w:after="0" w:line="121"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23"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2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Compliance with laws or changes in existing or new laws and regulations or regulatory enforcement priorities could adversely affect our business.</w:t>
      </w:r>
    </w:p>
    <w:p>
      <w:pPr>
        <w:spacing w:after="0" w:line="121"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or compliance with the Foreign Corrupt Practices Act could have an adverse impact on our financial condition and results of operations. Changes in enforcement priorities by governmental agencies charged with enforcing existing laws and regulations could increase our cost of doing business.</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2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21"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We do not control the operations of our suppliers. Accordingly, we cannot guarantee that our suppliers will comply with applicable environmental, labor and other laws and regulations or operate in a legal, ethical, and responsible manner. Violation of environmental, labor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44" w:lineRule="exact"/>
        <w:rPr>
          <w:sz w:val="20"/>
          <w:szCs w:val="20"/>
          <w:color w:val="auto"/>
        </w:rPr>
      </w:pPr>
    </w:p>
    <w:p>
      <w:pPr>
        <w:ind w:right="140"/>
        <w:spacing w:after="0" w:line="212" w:lineRule="auto"/>
        <w:rPr>
          <w:sz w:val="20"/>
          <w:szCs w:val="20"/>
          <w:color w:val="auto"/>
        </w:rPr>
      </w:pPr>
      <w:r>
        <w:rPr>
          <w:rFonts w:ascii="Arial" w:cs="Arial" w:eastAsia="Arial" w:hAnsi="Arial"/>
          <w:sz w:val="18"/>
          <w:szCs w:val="18"/>
          <w:color w:val="auto"/>
        </w:rPr>
        <w:t>Our results may be affected by the prices of the materials used in the manufacture of tile, setting and maintenance materials, and related accessories that we sell. These prices may fluctuate based on a number of factors beyond our control, including: oil prices, changes in supply and demand, general economic conditions, labor costs, competition, import duties, tariffs, currency exchange rates, and government regulation. In addition, energy costs have fluctuated dramatically in the past and may fluctuate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may not be able to adjust the prices of our products, especially in the short-term, to recover any cost increases in materials and energy. A continual rise in material and energy costs could adversely affect consumer spending and demand for our products and increase our operating costs, both of which could have a material adverse effect on our financial condition and results of operations.</w:t>
      </w:r>
    </w:p>
    <w:p>
      <w:pPr>
        <w:spacing w:after="0" w:line="123" w:lineRule="exact"/>
        <w:rPr>
          <w:sz w:val="20"/>
          <w:szCs w:val="20"/>
          <w:color w:val="auto"/>
        </w:rPr>
      </w:pPr>
    </w:p>
    <w:p>
      <w:pPr>
        <w:ind w:right="680"/>
        <w:spacing w:after="0" w:line="258" w:lineRule="auto"/>
        <w:rPr>
          <w:sz w:val="20"/>
          <w:szCs w:val="20"/>
          <w:color w:val="auto"/>
        </w:rPr>
      </w:pPr>
      <w:r>
        <w:rPr>
          <w:rFonts w:ascii="Arial" w:cs="Arial" w:eastAsia="Arial" w:hAnsi="Arial"/>
          <w:sz w:val="17"/>
          <w:szCs w:val="17"/>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06"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could also be adversely affected if there are delays in product shipments due to freight difficulties, strikes, or other difficulties at our suppliers’ principal transport providers, or otherwise.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44"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believe that our growth was achieved in part through the effectiveness of our marketing strategies. Prior to 2018, we used internet, print, and radio advertisements containing discounts and promotional offers to encourage customers to visit our stores. A significant portion of our advertising was invested to support the opening of new stores and directed at professional customers. Beginning in late 2017, we de-emphasized the use of discount offers to attract customers. Limited use of discount and promotional offers in future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periods could fail to attract customers, resulting in a decrease in store traffic. We may need to further increase our marketing expense to support our business strategies in the future. If our marketing strategies fail to draw customers in the future, or if the cost of advertising or other marketing materials increases significantly, we could experience declines in our net sales and operating results.</w:t>
      </w:r>
    </w:p>
    <w:p>
      <w:pPr>
        <w:spacing w:after="0" w:line="106" w:lineRule="exact"/>
        <w:rPr>
          <w:sz w:val="20"/>
          <w:szCs w:val="20"/>
          <w:color w:val="auto"/>
        </w:rPr>
      </w:pPr>
    </w:p>
    <w:p>
      <w:pPr>
        <w:ind w:right="820"/>
        <w:spacing w:after="0" w:line="224"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transactional taxes, and we could be subject to liability with respect to past or future sales, which could adversely affect our results of operations.</w:t>
      </w:r>
    </w:p>
    <w:p>
      <w:pPr>
        <w:spacing w:after="0" w:line="122" w:lineRule="exact"/>
        <w:rPr>
          <w:sz w:val="20"/>
          <w:szCs w:val="20"/>
          <w:color w:val="auto"/>
        </w:rPr>
      </w:pPr>
    </w:p>
    <w:p>
      <w:pPr>
        <w:ind w:right="600"/>
        <w:spacing w:after="0" w:line="221" w:lineRule="auto"/>
        <w:rPr>
          <w:sz w:val="20"/>
          <w:szCs w:val="20"/>
          <w:color w:val="auto"/>
        </w:rPr>
      </w:pPr>
      <w:r>
        <w:rPr>
          <w:rFonts w:ascii="Arial" w:cs="Arial" w:eastAsia="Arial" w:hAnsi="Arial"/>
          <w:sz w:val="17"/>
          <w:szCs w:val="17"/>
          <w:color w:val="auto"/>
        </w:rPr>
        <w:t>The application of sales tax and other indirect taxes on cross border sales by remote sellers is continuing to change and evolve. In June 2018, the U.S. Supreme Court decided South Dakota v. Wayfair, Inc., a case challenging the prior law under which sellers were not required to collect sales and use tax unless they have a physical presence in the buyer’s state. This decision will now allow states to adopt new or enforce existing laws requiring sellers to collect and remit sales and use tax, even in states in which the seller has no presence. The adoption or enforcement of any such legislation could result in additional sales and use tax collection responsibility for certain of our businesses. A number of states have already begun requiring sales and use tax collection by remote sellers. We are in the process of determining how and when our collection practices may need to change in the relevant jurisdictions. It is possible that one or more jurisdictions may assert that we have liability for periods for which certain of our businesses have not collected sales, use or other similar taxes, and if such an assertion or assertions were successful it could result in tax liabilities, including for past sales taxes and penalties and interest, which could materially adversely affect our business, financial condition and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44"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The threat or occurrence of one or more natural disasters or other extreme weather events, whether as a result of climate change or otherwise, and the threat or outbreak of terrorism, civil unrest, a public health epidemic, such as the coronavirus, or pandemic, or other hostilities, conflicts or similar adverse events could materially adversely affect our financial performance. These events may result in damage to, or destruction or closure of, our stores, distribution centers and other properties.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4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Our ability to control labor costs is subject to numerous external factors, including prevailing wage rates,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operations could be disrupted if we are unable to protect the integrity and security of our customer information.</w:t>
      </w:r>
    </w:p>
    <w:p>
      <w:pPr>
        <w:spacing w:after="0" w:line="167"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may be vulnerable to criminal cyber-attacks or security incidents due to employee error, malfeasance or other vulnerabilities. Any such incidents could compromise our networks or disrupt critical systems, and the information stored there, such as personal identification information or funds, could be accessed, publicly disclosed, lost or stolen.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w:t>
      </w:r>
    </w:p>
    <w:p>
      <w:pPr>
        <w:spacing w:after="0" w:line="126"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cause the loss of customers. In addition, any such breach could subject us to litigation, government enforcement actions, regulatory penalties or costly response measures. Any such occurrence could have a material adverse effect on us.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management information systems experience disruptions, it could disrupt our business and reduce our net sales.</w:t>
      </w:r>
    </w:p>
    <w:p>
      <w:pPr>
        <w:spacing w:after="0" w:line="156"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viruses,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right="40"/>
        <w:spacing w:after="0" w:line="235" w:lineRule="auto"/>
        <w:rPr>
          <w:sz w:val="20"/>
          <w:szCs w:val="20"/>
          <w:color w:val="auto"/>
        </w:rPr>
      </w:pPr>
      <w:r>
        <w:rPr>
          <w:rFonts w:ascii="Arial" w:cs="Arial" w:eastAsia="Arial" w:hAnsi="Arial"/>
          <w:sz w:val="16"/>
          <w:szCs w:val="16"/>
          <w:color w:val="auto"/>
        </w:rPr>
        <w:t>computer “hackers” or other causes. We may incur significant expenses in order to repair any such operational problems and could suffer reputational damage. Any significant disruption or slowdown of our systems could cause information, including data related to customer orders, to be lost or delayed, which could result in delays in the delivery of products to our stores and customers or lost sales.</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Accordingly, if our network is disrupted, we may experience delayed communications within our operations and between our customers and ourselves. Any such occurrence could have a material adverse effect on us.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selection and implementation of information technology initiatives may impact our operational efficiency and productivity.</w:t>
      </w:r>
    </w:p>
    <w:p>
      <w:pPr>
        <w:spacing w:after="0" w:line="16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order to better manage our business, we expect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Furthermore, these initiatives might not provide the anticipated benefits or provide them in a delayed or more costly manner. Accordingly, issues relating to our selection and implementation of information technology initiatives may negatively impact our business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Implementation of our new ERP system has adversely impacted and could continue to negatively affect our business.</w:t>
      </w:r>
    </w:p>
    <w:p>
      <w:pPr>
        <w:spacing w:after="0" w:line="196"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We rely extensively on our IT systems to assist us in managing our business and summarizing our operational results. On January 1, 2019, we deployed a company-wide new ERP system. The new ERP system was implemented to position the Company for long-term growth, further enhance operating efficiencies and provide more effective management of our business operations, including sales order processing, inventory control, purchasing and supply chain management, and financial reporting. Implementing the new ERP system has been costly and has required, and may continue to require, the investment of significant personnel and financial resources. In addition to the risks inherent in the conversion to any new IT system, including the loss of information, disruption to our normal operations, and changes in accounting procedures, the implementation of our new ERP system has resulted in operational and reporting disruptions related to the conversion of existing customer orders, processing of new customer orders and maintaining an effective internal control environment.</w:t>
      </w:r>
    </w:p>
    <w:p>
      <w:pPr>
        <w:spacing w:after="0" w:line="165"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We identified material weaknesses in internal control over financial reporting that pertain to our ERP system conversion on January 1, 2019, as described below, which has caused us to incur increased costs, diverted our management’s and employees’ attention and resources, and negatively impacted our business. Failure to properly or adequately address any issues with our new ERP system could result in increased costs and the diversion of management’s and employees’ attention and resources and could materially adversely affect our operating results, internal control over financial reporting and ability to manage our business effectively. While the ERP system is intended to further improve and enhance our information management systems, the ongoing implementation of this new ERP system exposes us to the risks of integrating that system with our existing systems and processes, including possible continued disruption of our financial reporting.</w:t>
      </w:r>
    </w:p>
    <w:p>
      <w:pPr>
        <w:spacing w:after="0" w:line="16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have identified two material weaknesses in our internal control over financial reporting which, if not remediated, could result in material misstatements of our financial statements.</w:t>
      </w:r>
    </w:p>
    <w:p>
      <w:pPr>
        <w:spacing w:after="0" w:line="162"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We identified material weaknesses in internal control over financial reporting that pertain to our ERP system conversion that took place on January 1, 2019 involving (1) the ineffective design and implementation of effective controls with respect to the ERP system conversion, and (2) the ineffective design and implementation of IT general controls for information systems that are relevant to the preparation of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These material weaknesses could adversely impact our ability to record, process and report financial information accurately, and to prepare financial statements within the time periods specified by the rules and forms of the SEC. This failure could negatively affect the market price and trading liquidity of our common stock, cause investors to lose confidence in our reported financial information, subject us to civil and criminal investigations and penalties and materially and adversely impact our business and financial condition. We are adjusting our previously announced plans to address the material weaknesses following our delisting from The Nasdaq Stock Market LLC (“Nasdaq”) and our previously-announced plan to deregister our common stock. We cannot ensure that we will not identify additional material weaknesses in our internal control over financial reporting in the future.</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have delisted our common stock from the Nasdaq Stock Market and intend to deregister our common stock under the Exchange Act.</w:t>
      </w:r>
    </w:p>
    <w:p>
      <w:pPr>
        <w:spacing w:after="0" w:line="162"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As previously disclosed, we have voluntarily delisted our common stock from Nasdaq and intend to deregister our common stock under the Exchange Act. Our common stock is currently quoted on the Pink tier of the OTC Markets under the symbol “TTSH”. Following our proposed deregistration, it may thereafter continue to be eligible for trading on an over-the-counter market, if one or more brokers chooses to make a market for our common stock; however, there can be no assurances regarding any such trading.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In November 2019, a class action and derivative lawsuit was filed in the Court of Chancery of the State of Delaware against us and our directors, which prevented us from filing a Form 15 to complete our proposed deregistration. As such, we are required to continue filing periodic reports under the Exchange Act, including annual reports on Form 10-K, quarterly reports on Form 10-Q, and current reports on Form 8-K, and remain subject to all other requirements associated with being an Exchange Act-registered company. However, we continue to believe that the proposed deregistration, and the associated expected cost savings, is in our and our stockholders’ best interests.</w:t>
      </w:r>
    </w:p>
    <w:p>
      <w:pPr>
        <w:spacing w:after="0" w:line="162"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Following our delisting and proposed deregistration, the combination of the reduced amount of information regarding us available to stockholders and potential investors and the likelihood of reduced liquidity in the over-the-counter trading environment may impact the value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0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26" w:lineRule="exact"/>
        <w:rPr>
          <w:sz w:val="20"/>
          <w:szCs w:val="20"/>
          <w:color w:val="auto"/>
        </w:rPr>
      </w:pPr>
    </w:p>
    <w:p>
      <w:pPr>
        <w:ind w:right="300"/>
        <w:spacing w:after="0" w:line="324" w:lineRule="auto"/>
        <w:rPr>
          <w:sz w:val="20"/>
          <w:szCs w:val="20"/>
          <w:color w:val="auto"/>
        </w:rPr>
      </w:pPr>
      <w:r>
        <w:rPr>
          <w:rFonts w:ascii="Arial" w:cs="Arial" w:eastAsia="Arial" w:hAnsi="Arial"/>
          <w:sz w:val="15"/>
          <w:szCs w:val="15"/>
          <w:b w:val="1"/>
          <w:bCs w:val="1"/>
          <w:i w:val="1"/>
          <w:iCs w:val="1"/>
          <w:color w:val="auto"/>
        </w:rPr>
        <w:t>We are involved in legal proceedings and, while we cannot predict the outcomes of such proceedings and other contingencies with certainty, some of these outcomes could adversely affect our business, financial condition and results of operations.</w:t>
      </w:r>
    </w:p>
    <w:p>
      <w:pPr>
        <w:spacing w:after="0" w:line="61"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We are, and may become, involved in shareholder, consumer, employment, tort or other litigation.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44"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spacing w:after="0" w:line="98" w:lineRule="exact"/>
        <w:rPr>
          <w:sz w:val="20"/>
          <w:szCs w:val="20"/>
          <w:color w:val="auto"/>
        </w:rPr>
      </w:pPr>
    </w:p>
    <w:p>
      <w:pPr>
        <w:ind w:left="640" w:hanging="320"/>
        <w:spacing w:after="0"/>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operating performance and the performance of our competitors;</w:t>
      </w:r>
    </w:p>
    <w:p>
      <w:pPr>
        <w:spacing w:after="0" w:line="55" w:lineRule="exact"/>
        <w:rPr>
          <w:rFonts w:ascii="Arial" w:cs="Arial" w:eastAsia="Arial" w:hAnsi="Arial"/>
          <w:sz w:val="29"/>
          <w:szCs w:val="29"/>
          <w:color w:val="auto"/>
          <w:vertAlign w:val="superscript"/>
        </w:rPr>
      </w:pPr>
    </w:p>
    <w:p>
      <w:pPr>
        <w:ind w:left="640" w:right="280" w:hanging="320"/>
        <w:spacing w:after="0" w:line="181" w:lineRule="auto"/>
        <w:tabs>
          <w:tab w:leader="none" w:pos="6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public’s reaction to our filings with the SEC, our press releases and other public announcements; including our delisting from Nasdaq and current quotation on the Pink tier of the OTC Markets and our previously-announced plan to deregister our common stock;</w:t>
      </w:r>
    </w:p>
    <w:p>
      <w:pPr>
        <w:spacing w:after="0" w:line="1" w:lineRule="exact"/>
        <w:rPr>
          <w:rFonts w:ascii="Arial" w:cs="Arial" w:eastAsia="Arial" w:hAnsi="Arial"/>
          <w:sz w:val="29"/>
          <w:szCs w:val="29"/>
          <w:color w:val="auto"/>
          <w:vertAlign w:val="superscript"/>
        </w:rPr>
      </w:pPr>
    </w:p>
    <w:p>
      <w:pPr>
        <w:ind w:left="640" w:hanging="320"/>
        <w:spacing w:after="0" w:line="201" w:lineRule="auto"/>
        <w:tabs>
          <w:tab w:leader="none" w:pos="6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changes in recommendations or earnings estimates by research analysts who follow us or other companies in our industry;</w:t>
      </w:r>
    </w:p>
    <w:p>
      <w:pPr>
        <w:spacing w:after="0" w:line="55" w:lineRule="exact"/>
        <w:rPr>
          <w:rFonts w:ascii="Arial" w:cs="Arial" w:eastAsia="Arial" w:hAnsi="Arial"/>
          <w:sz w:val="28"/>
          <w:szCs w:val="28"/>
          <w:color w:val="auto"/>
          <w:vertAlign w:val="superscript"/>
        </w:rPr>
      </w:pPr>
    </w:p>
    <w:p>
      <w:pPr>
        <w:ind w:left="640" w:hanging="320"/>
        <w:spacing w:after="0" w:line="186" w:lineRule="auto"/>
        <w:tabs>
          <w:tab w:leader="none" w:pos="6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variations in general economic conditions;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actions of our current stockholders, including purchases or sales of common stock by our directors and executive officers;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the arrival or departure of key personnel;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other developments affecting us, our industry or our competitors.</w:t>
      </w:r>
    </w:p>
    <w:p>
      <w:pPr>
        <w:spacing w:after="0" w:line="137" w:lineRule="exact"/>
        <w:rPr>
          <w:sz w:val="20"/>
          <w:szCs w:val="20"/>
          <w:color w:val="auto"/>
        </w:rPr>
      </w:pPr>
    </w:p>
    <w:p>
      <w:pPr>
        <w:jc w:val="both"/>
        <w:ind w:right="520"/>
        <w:spacing w:after="0" w:line="248" w:lineRule="auto"/>
        <w:rPr>
          <w:sz w:val="20"/>
          <w:szCs w:val="20"/>
          <w:color w:val="auto"/>
        </w:rPr>
      </w:pPr>
      <w:r>
        <w:rPr>
          <w:rFonts w:ascii="Arial" w:cs="Arial" w:eastAsia="Arial" w:hAnsi="Arial"/>
          <w:sz w:val="16"/>
          <w:szCs w:val="16"/>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16"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We suspended our quarterly dividend program and cancelled our stock repurchase program; as such, only appreciation in the price of our common stock will provide a return to our stockholders.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October 2019, we suspended our quarterly cash dividend program and cancelled our share repurchase program to focus on debt reduction and continued investment in strategic initiatives. Any future determination with respect to the payment of dividends or stock repurchases is at the discretion of our Board of Directors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Our election not to pay a quarterly dividend or repurchase stock may negatively impact our reputation, our stock price, and investor confidence in us.</w:t>
      </w:r>
    </w:p>
    <w:p>
      <w:pPr>
        <w:spacing w:after="0" w:line="120"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b w:val="1"/>
          <w:bCs w:val="1"/>
          <w:i w:val="1"/>
          <w:iCs w:val="1"/>
          <w:color w:val="auto"/>
        </w:rPr>
        <w:t>We are a holding company with no business operations of our own and depend on cash flow from The Tile Shop to meet our obligations.</w:t>
      </w:r>
    </w:p>
    <w:p>
      <w:pPr>
        <w:spacing w:after="0" w:line="12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We are a holding company with no business operations of our own or material assets other than the equity of our subsidiaries. All of our operations are conducted by our subsidiaries, including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44"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Our directors and executive officers, together with their affiliates, beneficially hold approximately 31%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21"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w:t>
      </w:r>
    </w:p>
    <w:p>
      <w:pPr>
        <w:spacing w:after="0" w:line="217" w:lineRule="exact"/>
        <w:rPr>
          <w:sz w:val="20"/>
          <w:szCs w:val="20"/>
          <w:color w:val="auto"/>
        </w:rPr>
      </w:pPr>
    </w:p>
    <w:p>
      <w:pPr>
        <w:ind w:left="640" w:right="520" w:hanging="320"/>
        <w:spacing w:after="0" w:line="180"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ind w:left="640" w:hanging="320"/>
        <w:spacing w:after="0" w:line="201" w:lineRule="auto"/>
        <w:tabs>
          <w:tab w:leader="none" w:pos="6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55" w:lineRule="exact"/>
        <w:rPr>
          <w:rFonts w:ascii="Arial" w:cs="Arial" w:eastAsia="Arial" w:hAnsi="Arial"/>
          <w:sz w:val="28"/>
          <w:szCs w:val="28"/>
          <w:color w:val="auto"/>
          <w:vertAlign w:val="superscript"/>
        </w:rPr>
      </w:pPr>
    </w:p>
    <w:p>
      <w:pPr>
        <w:ind w:left="640" w:right="20" w:hanging="320"/>
        <w:spacing w:after="0" w:line="181"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41" w:lineRule="exact"/>
        <w:rPr>
          <w:rFonts w:ascii="Arial" w:cs="Arial" w:eastAsia="Arial" w:hAnsi="Arial"/>
          <w:sz w:val="29"/>
          <w:szCs w:val="29"/>
          <w:color w:val="auto"/>
          <w:vertAlign w:val="superscript"/>
        </w:rPr>
      </w:pPr>
    </w:p>
    <w:p>
      <w:pPr>
        <w:ind w:left="640" w:right="60" w:hanging="320"/>
        <w:spacing w:after="0" w:line="186"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ability of our Board of Directors to determine whether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41" w:lineRule="exact"/>
        <w:rPr>
          <w:rFonts w:ascii="Arial" w:cs="Arial" w:eastAsia="Arial" w:hAnsi="Arial"/>
          <w:sz w:val="29"/>
          <w:szCs w:val="29"/>
          <w:color w:val="auto"/>
          <w:vertAlign w:val="superscript"/>
        </w:rPr>
      </w:pPr>
    </w:p>
    <w:p>
      <w:pPr>
        <w:ind w:left="640" w:right="520" w:hanging="320"/>
        <w:spacing w:after="0" w:line="180"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0" w:lineRule="exact"/>
        <w:rPr>
          <w:rFonts w:ascii="Arial" w:cs="Arial" w:eastAsia="Arial" w:hAnsi="Arial"/>
          <w:sz w:val="29"/>
          <w:szCs w:val="29"/>
          <w:color w:val="auto"/>
          <w:vertAlign w:val="superscript"/>
        </w:rPr>
      </w:pPr>
    </w:p>
    <w:p>
      <w:pPr>
        <w:ind w:left="640" w:right="160" w:hanging="320"/>
        <w:spacing w:after="0" w:line="186"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w:t>
      </w:r>
    </w:p>
    <w:p>
      <w:pPr>
        <w:spacing w:after="0" w:line="2" w:lineRule="exact"/>
        <w:rPr>
          <w:rFonts w:ascii="Arial" w:cs="Arial" w:eastAsia="Arial" w:hAnsi="Arial"/>
          <w:sz w:val="29"/>
          <w:szCs w:val="29"/>
          <w:color w:val="auto"/>
          <w:vertAlign w:val="superscript"/>
        </w:rPr>
      </w:pPr>
    </w:p>
    <w:p>
      <w:pPr>
        <w:ind w:left="640" w:hanging="320"/>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limiting the liability of, and providing indemnification to, our directors and officers;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controlling the procedures for the conduct and scheduling of stockholder meetings;</w:t>
      </w:r>
    </w:p>
    <w:p>
      <w:pPr>
        <w:spacing w:after="0" w:line="56" w:lineRule="exact"/>
        <w:rPr>
          <w:rFonts w:ascii="Arial" w:cs="Arial" w:eastAsia="Arial" w:hAnsi="Arial"/>
          <w:sz w:val="24"/>
          <w:szCs w:val="24"/>
          <w:color w:val="auto"/>
          <w:vertAlign w:val="superscript"/>
        </w:rPr>
      </w:pPr>
    </w:p>
    <w:p>
      <w:pPr>
        <w:ind w:left="640" w:right="80" w:hanging="320"/>
        <w:spacing w:after="0" w:line="180" w:lineRule="auto"/>
        <w:tabs>
          <w:tab w:leader="none" w:pos="6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providing the Board of Directors with the express power to postpone previously scheduled annual meetings of stockholders and to cancel previously scheduled special meetings of stockholders;</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providing that directors may be removed prior to the expiration of their terms by stockholders only for cause; and</w:t>
      </w:r>
    </w:p>
    <w:p>
      <w:pPr>
        <w:spacing w:after="0" w:line="56" w:lineRule="exact"/>
        <w:rPr>
          <w:rFonts w:ascii="Arial" w:cs="Arial" w:eastAsia="Arial" w:hAnsi="Arial"/>
          <w:sz w:val="29"/>
          <w:szCs w:val="29"/>
          <w:color w:val="auto"/>
          <w:vertAlign w:val="superscript"/>
        </w:rPr>
      </w:pPr>
    </w:p>
    <w:p>
      <w:pPr>
        <w:ind w:left="640" w:right="120" w:hanging="320"/>
        <w:spacing w:after="0" w:line="203" w:lineRule="auto"/>
        <w:tabs>
          <w:tab w:leader="none" w:pos="6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As a Delaware corporation, we are also subject to provisions of Delaware law.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As of December 31, 2019, we operated 142 stores located in 31 states and the District of Columbia with an average square footage of approximately 20,000 square feet. The table below sets forth the store locations (alphabetically by state) of our 142 stores in operation as of December 31,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auto"/>
              </w:rPr>
              <w:t>State</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w w:val="99"/>
              </w:rPr>
              <w:t>Stores</w:t>
            </w:r>
          </w:p>
        </w:tc>
        <w:tc>
          <w:tcPr>
            <w:tcW w:w="16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State</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Stores</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Stores</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Stores</w:t>
            </w: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9"/>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Minnesota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Oklahoma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60" w:type="dxa"/>
            <w:vAlign w:val="bottom"/>
          </w:tcPr>
          <w:p>
            <w:pPr>
              <w:spacing w:after="0"/>
              <w:rPr>
                <w:sz w:val="20"/>
                <w:szCs w:val="20"/>
                <w:color w:val="auto"/>
              </w:rPr>
            </w:pPr>
            <w:r>
              <w:rPr>
                <w:rFonts w:ascii="Arial" w:cs="Arial" w:eastAsia="Arial" w:hAnsi="Arial"/>
                <w:sz w:val="18"/>
                <w:szCs w:val="18"/>
                <w:color w:val="auto"/>
              </w:rPr>
              <w:t>Arkansas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Indiana</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Missouri</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Pennsylvania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Iowa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Nebraska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Rhode Island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60" w:type="dxa"/>
            <w:vAlign w:val="bottom"/>
          </w:tcPr>
          <w:p>
            <w:pPr>
              <w:spacing w:after="0"/>
              <w:rPr>
                <w:sz w:val="20"/>
                <w:szCs w:val="20"/>
                <w:color w:val="auto"/>
              </w:rPr>
            </w:pPr>
            <w:r>
              <w:rPr>
                <w:rFonts w:ascii="Arial" w:cs="Arial" w:eastAsia="Arial" w:hAnsi="Arial"/>
                <w:sz w:val="18"/>
                <w:szCs w:val="18"/>
                <w:color w:val="auto"/>
              </w:rPr>
              <w:t>Connecticut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Kansas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New Jersey</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South Carolina</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Kentucky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Mexico</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Tennessee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560" w:type="dxa"/>
            <w:vAlign w:val="bottom"/>
          </w:tcPr>
          <w:p>
            <w:pPr>
              <w:spacing w:after="0"/>
              <w:rPr>
                <w:sz w:val="20"/>
                <w:szCs w:val="20"/>
                <w:color w:val="auto"/>
              </w:rPr>
            </w:pPr>
            <w:r>
              <w:rPr>
                <w:rFonts w:ascii="Arial" w:cs="Arial" w:eastAsia="Arial" w:hAnsi="Arial"/>
                <w:sz w:val="18"/>
                <w:szCs w:val="18"/>
                <w:color w:val="auto"/>
                <w:w w:val="98"/>
              </w:rPr>
              <w:t>District of Columbia</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New York</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Texas</w:t>
            </w: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Massachusetts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Carolina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Virginia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Georgia</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Michigan</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Ohio</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Wisconsin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1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r>
    </w:tbl>
    <w:p>
      <w:pPr>
        <w:spacing w:after="0" w:line="16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103,000 square feet.</w:t>
      </w:r>
    </w:p>
    <w:p>
      <w:pPr>
        <w:spacing w:after="0" w:line="11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believe that our material property holdings are suitable for our current operations and purposes. We intend to open one new store in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140"/>
        <w:spacing w:after="0" w:line="221"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Based on information currently available to us, advice of counsel, and available insurance coverage, we believe that our established accruals are adequate and the liabilities arising from the legal proceedings will not have a material adverse effect on our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our results of operations for a particular period, depending upon the size of the loss or our income for that particular period.</w:t>
      </w:r>
    </w:p>
    <w:p>
      <w:pPr>
        <w:spacing w:after="0" w:line="12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have voluntarily delisted our common stock from Nasdaq and intend to deregister our common stock under the Exchange Act, subject to applicable law and any orders or injunctions issued in the litigation described below.</w:t>
      </w:r>
    </w:p>
    <w:p>
      <w:pPr>
        <w:spacing w:after="0" w:line="162" w:lineRule="exact"/>
        <w:rPr>
          <w:sz w:val="20"/>
          <w:szCs w:val="20"/>
          <w:color w:val="auto"/>
        </w:rPr>
      </w:pPr>
    </w:p>
    <w:p>
      <w:pPr>
        <w:jc w:val="both"/>
        <w:ind w:right="140"/>
        <w:spacing w:after="0" w:line="237" w:lineRule="auto"/>
        <w:rPr>
          <w:sz w:val="20"/>
          <w:szCs w:val="20"/>
          <w:color w:val="auto"/>
        </w:rPr>
      </w:pPr>
      <w:r>
        <w:rPr>
          <w:rFonts w:ascii="Arial" w:cs="Arial" w:eastAsia="Arial" w:hAnsi="Arial"/>
          <w:sz w:val="16"/>
          <w:szCs w:val="16"/>
          <w:color w:val="auto"/>
        </w:rPr>
        <w:t>On November 5, 2019, a class action and derivative lawsuit was filed in the Court of Chancery of the State of Delaware against us and our directors by a plaintiff’s law firm with K-Bar Holdings LLC listed as plaintiff. The complaint was filed again by the same law firm on November 7, 2019 with Wynnefield Capital, Inc. as the plaintiff. The complaint alleges breaches of fiduciary duty in connection with our decision to delist from Nasdaq and deregister our common stock under the Exchange Act and directors’ purchases of common stock. The complaint includes derivative claims and seeks injunctive relief to prevent us from deregistering our common stock, injunctive relief to prevent additional stock purchases, and unspecified damages. A hearing was scheduled for February 21, 2020 for the court to consider whether a preliminary injunction should be issued to continue the temporary restraining order (“TRO”) that was entered by the court on November 8, 2019. The TRO prohibits us from filing a Form 15 to complete the proposed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2" w:right="9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deregistration and additional stock purchases by directors. We have determined to forego the preliminary injunction hearing and proceed directly to a full trial on the merits, which is currently scheduled for April 13-14, 2020.</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believe that the K-Bar and Wynnefield Capital complaint contains numerous false and misleading statements that create a narrative regarding our delisting and proposed deregistration that is untrue. We further believe, and have made filings with the court indicating that, subsequent filings and statements made with the court by plaintiffs’ counsel Bernstein Litowitz Berger &amp; Grossmann have been false and misleading and sought to distort the record in the case. We plan to continue to contest the litigation vigorously.</w:t>
      </w:r>
    </w:p>
    <w:p>
      <w:pPr>
        <w:spacing w:after="0" w:line="1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As a result of the delay in filing the Form 15, we are required to continue filing periodic reports under the Exchange Act, including annual reports on Form 10-K, quarterly reports on Form 10-Q, and current reports on Form 8-K, and remain subject to all other requirements associated with being an Exchange Act-registered company. If the TRO expires or is lifted, we will be required to reassess if we are eligible to file the Form 15 at that time.</w:t>
      </w:r>
    </w:p>
    <w:p>
      <w:pPr>
        <w:spacing w:after="0" w:line="12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We continue to believe that the delisting and proposed deregistration are in the best interests of us and our stockholders. We believe that it is unfortunate that our ability to achieve the expected cost savings from the deregistration has been impeded by the litigation and continue to contest the litigation vigorously.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00"/>
          </w:cols>
          <w:pgMar w:left="980" w:top="112" w:right="1119" w:bottom="1440" w:gutter="0" w:footer="0" w:header="0"/>
        </w:sectPr>
      </w:pPr>
    </w:p>
    <w:bookmarkStart w:id="17" w:name="page18"/>
    <w:bookmarkEnd w:id="1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STOCKHOLDER MATTERS AND</w:t>
      </w:r>
    </w:p>
    <w:p>
      <w:pPr>
        <w:ind w:left="4"/>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8" w:lineRule="exact"/>
        <w:rPr>
          <w:sz w:val="20"/>
          <w:szCs w:val="20"/>
          <w:color w:val="auto"/>
        </w:rPr>
      </w:pPr>
    </w:p>
    <w:p>
      <w:pPr>
        <w:ind w:left="4" w:right="80"/>
        <w:spacing w:after="0" w:line="216" w:lineRule="auto"/>
        <w:rPr>
          <w:sz w:val="20"/>
          <w:szCs w:val="20"/>
          <w:color w:val="auto"/>
        </w:rPr>
      </w:pPr>
      <w:r>
        <w:rPr>
          <w:rFonts w:ascii="Arial" w:cs="Arial" w:eastAsia="Arial" w:hAnsi="Arial"/>
          <w:sz w:val="18"/>
          <w:szCs w:val="18"/>
          <w:color w:val="auto"/>
        </w:rPr>
        <w:t>Our common stock previously traded on Nasdaq under the symbol “TTS”. We voluntarily delisted our common stock from Nasdaq in November 2019 and, since then, our common stock has been quoted on The OTC Pink Market under the symbol “TTSH”. The following table shows, for the period indicated, the high and low closing bid quotations for the Company’s common stock as reported by Yahoo Finance. The quotations represent inter-dealer prices, without retail mark-up, mark-down or commission, and may not necessarily represent actual transactions.</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Low</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November 11, 2019 – December 31, 2019</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148" w:lineRule="exact"/>
        <w:rPr>
          <w:sz w:val="20"/>
          <w:szCs w:val="20"/>
          <w:color w:val="auto"/>
        </w:rPr>
      </w:pPr>
    </w:p>
    <w:p>
      <w:pPr>
        <w:ind w:left="4" w:right="440"/>
        <w:spacing w:after="0" w:line="235" w:lineRule="auto"/>
        <w:rPr>
          <w:sz w:val="20"/>
          <w:szCs w:val="20"/>
          <w:color w:val="auto"/>
        </w:rPr>
      </w:pPr>
      <w:r>
        <w:rPr>
          <w:rFonts w:ascii="Arial" w:cs="Arial" w:eastAsia="Arial" w:hAnsi="Arial"/>
          <w:sz w:val="18"/>
          <w:szCs w:val="18"/>
          <w:color w:val="auto"/>
        </w:rPr>
        <w:t>As of March 9, 2020, we had approximately 464 holders of record of our common stock. This figure does not include the number of persons whose securities are held in nominee or “street” name accounts through brokers.</w:t>
      </w:r>
    </w:p>
    <w:p>
      <w:pPr>
        <w:spacing w:after="0" w:line="121" w:lineRule="exact"/>
        <w:rPr>
          <w:sz w:val="20"/>
          <w:szCs w:val="20"/>
          <w:color w:val="auto"/>
        </w:rPr>
      </w:pPr>
    </w:p>
    <w:p>
      <w:pPr>
        <w:ind w:left="4" w:right="340"/>
        <w:spacing w:after="0" w:line="235" w:lineRule="auto"/>
        <w:rPr>
          <w:sz w:val="20"/>
          <w:szCs w:val="20"/>
          <w:color w:val="auto"/>
        </w:rPr>
      </w:pPr>
      <w:r>
        <w:rPr>
          <w:rFonts w:ascii="Arial" w:cs="Arial" w:eastAsia="Arial" w:hAnsi="Arial"/>
          <w:sz w:val="18"/>
          <w:szCs w:val="18"/>
          <w:color w:val="auto"/>
        </w:rPr>
        <w:t>As of March 9, 2020, we had 50,751,615 shares of common stock outstanding. The last reported sales price for our common stock on March 9, 2020 was $1.42.</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Dividends Paid Per Share</w:t>
      </w:r>
    </w:p>
    <w:p>
      <w:pPr>
        <w:spacing w:after="0" w:line="27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Paid</w:t>
            </w:r>
          </w:p>
        </w:tc>
        <w:tc>
          <w:tcPr>
            <w:tcW w:w="2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Amount</w:t>
            </w: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March 16, 2018</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May 11, 2018</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August 10, 2018</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November 9, 2018</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March 15, 2019</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May 17, 2019</w:t>
            </w: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August 9, 2019</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bl>
    <w:p>
      <w:pPr>
        <w:spacing w:after="0" w:line="377"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suspended dividend payments on October 18, 2019.</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jc w:val="both"/>
        <w:ind w:left="4" w:right="60"/>
        <w:spacing w:after="0" w:line="235" w:lineRule="auto"/>
        <w:rPr>
          <w:sz w:val="20"/>
          <w:szCs w:val="20"/>
          <w:color w:val="auto"/>
        </w:rPr>
      </w:pPr>
      <w:r>
        <w:rPr>
          <w:rFonts w:ascii="Arial" w:cs="Arial" w:eastAsia="Arial" w:hAnsi="Arial"/>
          <w:sz w:val="18"/>
          <w:szCs w:val="18"/>
          <w:color w:val="auto"/>
        </w:rPr>
        <w:t>For information on our equity compensation plans, refer to Item 12, “Security Ownership of Certain Beneficial Owners and Management and Related Stockholder Matters.”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8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5"/>
              </w:rPr>
              <w:t>Shares Purchased</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 of Shares</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as Part of</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1"/>
              </w:rPr>
              <w:t>that May Yet be</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w w:val="96"/>
              </w:rPr>
              <w:t>Total Number of</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Average Price</w:t>
            </w:r>
          </w:p>
        </w:tc>
        <w:tc>
          <w:tcPr>
            <w:tcW w:w="22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6"/>
              </w:rPr>
              <w:t>Publicly</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Announced Plans</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Shares Purchased</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88"/>
              </w:rPr>
              <w:t>Paid per Share</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or Program</w:t>
            </w:r>
          </w:p>
        </w:tc>
        <w:tc>
          <w:tcPr>
            <w:tcW w:w="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Programs</w:t>
            </w:r>
            <w:r>
              <w:rPr>
                <w:rFonts w:ascii="Arial" w:cs="Arial" w:eastAsia="Arial" w:hAnsi="Arial"/>
                <w:sz w:val="8"/>
                <w:szCs w:val="8"/>
                <w:color w:val="auto"/>
                <w:w w:val="91"/>
              </w:rPr>
              <w:t>(4)</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October 1, 2019 - October 31, 2019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65,161</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2"/>
              </w:rPr>
              <w:t>(1)</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72"/>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7"/>
                <w:szCs w:val="17"/>
                <w:color w:val="auto"/>
              </w:rPr>
              <w:t>November 1, 2019 - November 30, 2019</w:t>
            </w:r>
          </w:p>
        </w:tc>
        <w:tc>
          <w:tcPr>
            <w:tcW w:w="1340" w:type="dxa"/>
            <w:vAlign w:val="bottom"/>
          </w:tcPr>
          <w:p>
            <w:pPr>
              <w:jc w:val="right"/>
              <w:spacing w:after="0" w:line="149" w:lineRule="exact"/>
              <w:rPr>
                <w:sz w:val="20"/>
                <w:szCs w:val="20"/>
                <w:color w:val="auto"/>
              </w:rPr>
            </w:pPr>
            <w:r>
              <w:rPr>
                <w:rFonts w:ascii="Arial" w:cs="Arial" w:eastAsia="Arial" w:hAnsi="Arial"/>
                <w:sz w:val="17"/>
                <w:szCs w:val="17"/>
                <w:color w:val="auto"/>
              </w:rPr>
              <w:t>7,570</w:t>
            </w:r>
          </w:p>
        </w:tc>
        <w:tc>
          <w:tcPr>
            <w:tcW w:w="160" w:type="dxa"/>
            <w:vAlign w:val="bottom"/>
            <w:vMerge w:val="restart"/>
          </w:tcPr>
          <w:p>
            <w:pPr>
              <w:jc w:val="right"/>
              <w:ind w:right="15"/>
              <w:spacing w:after="0"/>
              <w:rPr>
                <w:sz w:val="20"/>
                <w:szCs w:val="20"/>
                <w:color w:val="auto"/>
              </w:rPr>
            </w:pPr>
            <w:r>
              <w:rPr>
                <w:rFonts w:ascii="Arial" w:cs="Arial" w:eastAsia="Arial" w:hAnsi="Arial"/>
                <w:sz w:val="9"/>
                <w:szCs w:val="9"/>
                <w:color w:val="auto"/>
                <w:w w:val="72"/>
              </w:rPr>
              <w:t>(2)</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7"/>
                <w:szCs w:val="17"/>
                <w:color w:val="auto"/>
              </w:rPr>
              <w:t>0.62</w:t>
            </w:r>
          </w:p>
        </w:tc>
        <w:tc>
          <w:tcPr>
            <w:tcW w:w="220" w:type="dxa"/>
            <w:vAlign w:val="bottom"/>
            <w:vMerge w:val="restart"/>
          </w:tcPr>
          <w:p>
            <w:pPr>
              <w:jc w:val="right"/>
              <w:ind w:right="75"/>
              <w:spacing w:after="0"/>
              <w:rPr>
                <w:sz w:val="20"/>
                <w:szCs w:val="20"/>
                <w:color w:val="auto"/>
              </w:rPr>
            </w:pPr>
            <w:r>
              <w:rPr>
                <w:rFonts w:ascii="Arial" w:cs="Arial" w:eastAsia="Arial" w:hAnsi="Arial"/>
                <w:sz w:val="9"/>
                <w:szCs w:val="9"/>
                <w:color w:val="auto"/>
                <w:w w:val="72"/>
              </w:rPr>
              <w:t>(2)</w:t>
            </w:r>
          </w:p>
        </w:tc>
        <w:tc>
          <w:tcPr>
            <w:tcW w:w="130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4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December 1, 2019 - December 31, 2019</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47,592</w:t>
            </w:r>
          </w:p>
        </w:tc>
        <w:tc>
          <w:tcPr>
            <w:tcW w:w="16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w w:val="72"/>
              </w:rPr>
              <w:t>(3)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0.00</w:t>
            </w:r>
          </w:p>
        </w:tc>
        <w:tc>
          <w:tcPr>
            <w:tcW w:w="2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w w:val="72"/>
              </w:rPr>
              <w:t>(3)</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428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vMerge w:val="continue"/>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3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24" w:right="40" w:hanging="324"/>
        <w:spacing w:after="0" w:line="259" w:lineRule="auto"/>
        <w:tabs>
          <w:tab w:leader="none" w:pos="324"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withheld a total of 8,479 shares to satisfy tax withholding obligations due upon the vesting of restricted stock grants, as allowed by the 2012 Omnibus Award Plan (the “2012 Plan”). We did not pay cash to repurchase these shares, nor were these repurchases part of a publicly announced plan or program. We repurchased the remaining 56,682 shares pursuant to the terms of</w:t>
      </w:r>
    </w:p>
    <w:p>
      <w:pPr>
        <w:spacing w:after="0" w:line="147" w:lineRule="exact"/>
        <w:rPr>
          <w:sz w:val="20"/>
          <w:szCs w:val="20"/>
          <w:color w:val="auto"/>
        </w:rPr>
      </w:pPr>
    </w:p>
    <w:p>
      <w:pPr>
        <w:jc w:val="center"/>
        <w:ind w:right="-32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12" w:right="979" w:bottom="1440" w:gutter="0" w:footer="0" w:header="0"/>
        </w:sectPr>
      </w:pPr>
    </w:p>
    <w:bookmarkStart w:id="18" w:name="page19"/>
    <w:bookmarkEnd w:id="1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324" w:right="320"/>
        <w:spacing w:after="0" w:line="212" w:lineRule="auto"/>
        <w:rPr>
          <w:sz w:val="20"/>
          <w:szCs w:val="20"/>
          <w:color w:val="auto"/>
        </w:rPr>
      </w:pPr>
      <w:r>
        <w:rPr>
          <w:rFonts w:ascii="Arial" w:cs="Arial" w:eastAsia="Arial" w:hAnsi="Arial"/>
          <w:sz w:val="18"/>
          <w:szCs w:val="18"/>
          <w:color w:val="auto"/>
        </w:rPr>
        <w:t>the underlying restricted stock agreements, as allowed by the 2012 Plan. We paid $0.0001 per share, the par value, to repurchase these shares. These repurchases were not part of a publicly announced plan or program.</w:t>
      </w:r>
    </w:p>
    <w:p>
      <w:pPr>
        <w:spacing w:after="0" w:line="1" w:lineRule="exact"/>
        <w:rPr>
          <w:sz w:val="20"/>
          <w:szCs w:val="20"/>
          <w:color w:val="auto"/>
        </w:rPr>
      </w:pPr>
    </w:p>
    <w:p>
      <w:pPr>
        <w:ind w:left="324" w:hanging="324"/>
        <w:spacing w:after="0" w:line="20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withheld a total of 2,570 shares to satisfy tax withholding obligations due upon the vesting of restricted stock grants, as allowed by the 2012 Plan. We did not pay cash to repurchase these shares, nor were these repurchases part of a publicly announced plan or program. We repurchased the remaining 5,000 shares pursuant to the terms of the underlying restricted stock agreements, as allowed by the 2012 Plan. We paid $0.0001 per share, the par value, to repurchase these shares. These repurchases were not part of a publicly announced plan or program.</w:t>
      </w:r>
    </w:p>
    <w:p>
      <w:pPr>
        <w:spacing w:after="0" w:line="2" w:lineRule="exact"/>
        <w:rPr>
          <w:rFonts w:ascii="Arial" w:cs="Arial" w:eastAsia="Arial" w:hAnsi="Arial"/>
          <w:sz w:val="18"/>
          <w:szCs w:val="18"/>
          <w:color w:val="auto"/>
        </w:rPr>
      </w:pPr>
    </w:p>
    <w:p>
      <w:pPr>
        <w:jc w:val="both"/>
        <w:ind w:left="324" w:right="200" w:hanging="324"/>
        <w:spacing w:after="0" w:line="203"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repurchased these shares pursuant to the terms of the underlying restricted stock agreements, as allowed by the 2012 Plan. We paid $0.0001 per share, the par value, to repurchase these shares. These repurchases were not part of a publicly announced plan or program.</w:t>
      </w:r>
    </w:p>
    <w:p>
      <w:pPr>
        <w:spacing w:after="0" w:line="1" w:lineRule="exact"/>
        <w:rPr>
          <w:rFonts w:ascii="Arial" w:cs="Arial" w:eastAsia="Arial" w:hAnsi="Arial"/>
          <w:sz w:val="18"/>
          <w:szCs w:val="18"/>
          <w:color w:val="auto"/>
        </w:rPr>
      </w:pPr>
    </w:p>
    <w:p>
      <w:pPr>
        <w:ind w:left="324" w:right="40" w:hanging="324"/>
        <w:spacing w:after="0" w:line="225" w:lineRule="auto"/>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April 29, 2019, our Board of Directors authorized a share repurchase program (the “Program”), pursuant to which the Company was able to, from time to time, purchase shares of its common stock for an aggregate repurchase price not to exceed $15.0 million. The Program began on May 2, 2019 and was to continue indefinitely until the full repurchase amount had been utilized or the Board of Directors terminated the Program. The Board of Directors terminated the Program on October 18, 2019, at which time approximately $4.5 million remained available for purchases under the Program.</w:t>
      </w:r>
    </w:p>
    <w:p>
      <w:pPr>
        <w:spacing w:after="0" w:line="35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84"/>
          </w:cols>
          <w:pgMar w:left="976" w:top="112" w:right="10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200"/>
        <w:spacing w:after="0" w:line="214" w:lineRule="auto"/>
        <w:rPr>
          <w:sz w:val="20"/>
          <w:szCs w:val="20"/>
          <w:color w:val="auto"/>
        </w:rPr>
      </w:pPr>
      <w:r>
        <w:rPr>
          <w:rFonts w:ascii="Arial" w:cs="Arial" w:eastAsia="Arial" w:hAnsi="Arial"/>
          <w:sz w:val="18"/>
          <w:szCs w:val="18"/>
          <w:color w:val="auto"/>
        </w:rPr>
        <w:t>The following table sets forth selected historical financial information derived from (i) our audited financial statements included elsewhere in this report as of December 31, 2019 and 2018 and for the years ended December 31, 2019, 2018, and 2017 and (ii) our audited financial statements not included elsewhere in this report as of December 31, 2017, 2016, and 2015 and for the years ended December 31, 2016 and 2015.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8"/>
                <w:szCs w:val="18"/>
                <w:color w:val="auto"/>
                <w:w w:val="90"/>
              </w:rPr>
              <w:t>As of December 31, or for the year ended December 31,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w w:val="89"/>
              </w:rPr>
              <w:t>2016</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2015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color w:val="auto"/>
              </w:rPr>
              <w:t>(in thousands, except per share)</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340,351</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324,157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3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226,896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7"/>
                <w:szCs w:val="17"/>
                <w:color w:val="auto"/>
              </w:rPr>
              <w:t>Selling, general and administrative</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237,476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233,201</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210,376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5"/>
              </w:rPr>
              <w:t>193,983</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174,384</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(2,690)</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(1,857)</w:t>
            </w:r>
          </w:p>
        </w:tc>
        <w:tc>
          <w:tcPr>
            <w:tcW w:w="3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24,159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31,339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(13,340)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(12,876)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(4,463)</w:t>
            </w:r>
          </w:p>
        </w:tc>
        <w:tc>
          <w:tcPr>
            <w:tcW w:w="200" w:type="dxa"/>
            <w:vAlign w:val="bottom"/>
            <w:vMerge w:val="continue"/>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10,442</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10,819</w:t>
            </w:r>
          </w:p>
        </w:tc>
        <w:tc>
          <w:tcPr>
            <w:tcW w:w="40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18,463</w:t>
            </w:r>
          </w:p>
        </w:tc>
        <w:tc>
          <w:tcPr>
            <w:tcW w:w="4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vMerge w:val="continue"/>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7"/>
                <w:szCs w:val="17"/>
                <w:color w:val="auto"/>
              </w:rPr>
              <w:t>Weighted average shares</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50,624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52,089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51,928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51,880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51,305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40"/>
              <w:spacing w:after="0" w:line="202" w:lineRule="exact"/>
              <w:rPr>
                <w:sz w:val="20"/>
                <w:szCs w:val="20"/>
                <w:color w:val="auto"/>
              </w:rPr>
            </w:pPr>
            <w:r>
              <w:rPr>
                <w:rFonts w:ascii="Arial" w:cs="Arial" w:eastAsia="Arial" w:hAnsi="Arial"/>
                <w:sz w:val="18"/>
                <w:szCs w:val="18"/>
                <w:color w:val="auto"/>
              </w:rPr>
              <w:t>outstanding (diluted)</w:t>
            </w: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9,104</w:t>
            </w:r>
          </w:p>
        </w:tc>
        <w:tc>
          <w:tcPr>
            <w:tcW w:w="2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5,557</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6,621</w:t>
            </w:r>
          </w:p>
        </w:tc>
        <w:tc>
          <w:tcPr>
            <w:tcW w:w="40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6,067</w:t>
            </w:r>
          </w:p>
        </w:tc>
        <w:tc>
          <w:tcPr>
            <w:tcW w:w="4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85,259</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69,878</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399,814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297,630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270,725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265,273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245,007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Total debt and lease</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221,718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53,576</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56,812</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obligations, including current maturities</w:t>
            </w:r>
            <w:r>
              <w:rPr>
                <w:rFonts w:ascii="Arial" w:cs="Arial" w:eastAsia="Arial" w:hAnsi="Arial"/>
                <w:sz w:val="8"/>
                <w:szCs w:val="8"/>
                <w:color w:val="auto"/>
                <w:w w:val="97"/>
              </w:rPr>
              <w:t>(1)</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130,899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146,347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143,874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138,899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line="176" w:lineRule="exact"/>
              <w:rPr>
                <w:sz w:val="20"/>
                <w:szCs w:val="20"/>
                <w:color w:val="auto"/>
              </w:rPr>
            </w:pPr>
            <w:r>
              <w:rPr>
                <w:rFonts w:ascii="Arial" w:cs="Arial" w:eastAsia="Arial" w:hAnsi="Arial"/>
                <w:sz w:val="18"/>
                <w:szCs w:val="18"/>
                <w:b w:val="1"/>
                <w:bCs w:val="1"/>
                <w:color w:val="auto"/>
              </w:rPr>
              <w:t>Cash Flow Data</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Net cash provided by operating</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38,563</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3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4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53,552</w:t>
            </w:r>
          </w:p>
        </w:tc>
        <w:tc>
          <w:tcPr>
            <w:tcW w:w="4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60,264</w:t>
            </w: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activities</w:t>
            </w: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(26,390)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(34,143)</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(40,549)</w:t>
            </w:r>
          </w:p>
        </w:tc>
        <w:tc>
          <w:tcPr>
            <w:tcW w:w="3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(27,252)</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Net cash (used in) provided by</w:t>
            </w: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(8,622)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(10,620)</w:t>
            </w:r>
          </w:p>
        </w:tc>
        <w:tc>
          <w:tcPr>
            <w:tcW w:w="3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w w:val="98"/>
              </w:rPr>
              <w:t>(23,866)</w:t>
            </w:r>
          </w:p>
        </w:tc>
        <w:tc>
          <w:tcPr>
            <w:tcW w:w="2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(36,688)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7"/>
                <w:szCs w:val="17"/>
                <w:b w:val="1"/>
                <w:bCs w:val="1"/>
                <w:color w:val="auto"/>
              </w:rPr>
              <w:t>Other Selected Financial Data</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49,355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55,411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60,429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57,137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8"/>
                <w:szCs w:val="8"/>
                <w:color w:val="auto"/>
              </w:rPr>
              <w:t>(2)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13.8 %</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18.6 %</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Gross margin rate</w:t>
            </w:r>
            <w:r>
              <w:rPr>
                <w:rFonts w:ascii="Arial" w:cs="Arial" w:eastAsia="Arial" w:hAnsi="Arial"/>
                <w:sz w:val="8"/>
                <w:szCs w:val="8"/>
                <w:color w:val="auto"/>
              </w:rPr>
              <w:t>(3)</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69.4 %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70.4 %</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68.5 %</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70.0 %</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 margin</w:t>
            </w:r>
            <w:r>
              <w:rPr>
                <w:rFonts w:ascii="Arial" w:cs="Arial" w:eastAsia="Arial" w:hAnsi="Arial"/>
                <w:sz w:val="8"/>
                <w:szCs w:val="8"/>
                <w:color w:val="auto"/>
              </w:rPr>
              <w:t>(4)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5.1 %</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10.2 %</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Same stores sales (decline) growth</w:t>
            </w:r>
            <w:r>
              <w:rPr>
                <w:rFonts w:ascii="Arial" w:cs="Arial" w:eastAsia="Arial" w:hAnsi="Arial"/>
                <w:sz w:val="8"/>
                <w:szCs w:val="8"/>
                <w:color w:val="auto"/>
              </w:rPr>
              <w:t>(5)</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0.5 %</w:t>
            </w:r>
          </w:p>
        </w:tc>
        <w:tc>
          <w:tcPr>
            <w:tcW w:w="3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7.6 %</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period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1" w:right="959" w:bottom="1440" w:gutter="0" w:footer="0" w:header="0"/>
        </w:sectPr>
      </w:pPr>
    </w:p>
    <w:bookmarkStart w:id="20" w:name="page21"/>
    <w:bookmarkEnd w:id="2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40" w:hanging="424"/>
        <w:spacing w:after="0" w:line="217"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January 1, 2019, we adopted Accounting Standards Codification (“ASC”) 842 which requires organizations that lease assets to recognize the rights and obligations created by those leases on the consolidated balance sheet. Upon adopting this standard, we established a right of use asset of $147.2 million and lease liabilities of $169.9 million, reduced deferred rent by $44.6 million, and recorded a cumulative effect adjustment to retained earnings of $22.0 million. The change in life assigned to certain leasehold improvements triggered by the Company’s election to apply the hindsight partial expedient resulted in a $15.3 million reduction in fixed assets and retained earnings. The net impact of the cumulative effect adjustments also resulted in a $1.7 million reduction of deferred tax assets and a corresponding adjustment to retained earnings. See Notes 1 and 7 to our consolidated financial statements included in this report for further details.</w:t>
      </w:r>
    </w:p>
    <w:p>
      <w:pPr>
        <w:spacing w:after="0" w:line="6" w:lineRule="exact"/>
        <w:rPr>
          <w:rFonts w:ascii="Arial" w:cs="Arial" w:eastAsia="Arial" w:hAnsi="Arial"/>
          <w:sz w:val="17"/>
          <w:szCs w:val="17"/>
          <w:color w:val="auto"/>
        </w:rPr>
      </w:pPr>
    </w:p>
    <w:p>
      <w:pPr>
        <w:ind w:left="424" w:right="20" w:hanging="424"/>
        <w:spacing w:after="0" w:line="228"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Prior to 2018, we also adjusted for special charges, including equity-related transaction costs, litigation and investigation costs, and the write-off of debt issuance costs. We have modified the Adjusted EBITDA presentation for the years ended December 31, 2015 through December 31, 2017 to conform to the current presentation.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9" w:lineRule="exact"/>
        <w:rPr>
          <w:rFonts w:ascii="Arial" w:cs="Arial" w:eastAsia="Arial" w:hAnsi="Arial"/>
          <w:sz w:val="16"/>
          <w:szCs w:val="16"/>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rate is gross profit divided by net sales.</w:t>
      </w:r>
    </w:p>
    <w:p>
      <w:pPr>
        <w:spacing w:after="0" w:line="7"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(loss) income margin is (loss) income from operations divided by net sales.</w:t>
      </w:r>
    </w:p>
    <w:p>
      <w:pPr>
        <w:spacing w:after="0" w:line="9" w:lineRule="exact"/>
        <w:rPr>
          <w:rFonts w:ascii="Arial" w:cs="Arial" w:eastAsia="Arial" w:hAnsi="Arial"/>
          <w:sz w:val="18"/>
          <w:szCs w:val="18"/>
          <w:color w:val="auto"/>
        </w:rPr>
      </w:pPr>
    </w:p>
    <w:p>
      <w:pPr>
        <w:ind w:left="424" w:right="20" w:hanging="424"/>
        <w:spacing w:after="0" w:line="221"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Same store sales (decline) growth is the percentage change in sales of comparable stores period-over-period. A store is considered comparable on the first day of the 13th full month of operation. When a store is relocated, it is excluded from the same stores sales growth calculation. Same store sales growth (decline) amounts include total charges to customers less any actual returns. We include the change in the allowance for anticipated sales returns applicable to comparable stores in the same store sales calculation. Same store sales data reported by other companies may be prepared on a different basis and therefore may not be useful for purposes of comparing our results to those of other businesses. Company management believes the comparable store sales (decline) growth metric provides useful information to both management and investors to evaluate the Company’s performance, the effectiveness of its strategy and its competitive position.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Non-GAAP Adjusted EBITDA to GAAP Net Income (Loss)</w:t>
      </w:r>
    </w:p>
    <w:p>
      <w:pPr>
        <w:spacing w:after="0" w:line="148" w:lineRule="exact"/>
        <w:rPr>
          <w:sz w:val="20"/>
          <w:szCs w:val="20"/>
          <w:color w:val="auto"/>
        </w:rPr>
      </w:pPr>
    </w:p>
    <w:p>
      <w:pPr>
        <w:ind w:left="4" w:right="260"/>
        <w:spacing w:after="0" w:line="235" w:lineRule="auto"/>
        <w:rPr>
          <w:sz w:val="20"/>
          <w:szCs w:val="20"/>
          <w:color w:val="auto"/>
        </w:rPr>
      </w:pPr>
      <w:r>
        <w:rPr>
          <w:rFonts w:ascii="Arial" w:cs="Arial" w:eastAsia="Arial" w:hAnsi="Arial"/>
          <w:sz w:val="18"/>
          <w:szCs w:val="18"/>
          <w:color w:val="auto"/>
        </w:rPr>
        <w:t>The reconciliation of Adjusted EBITDA to net income (loss) for the years ended December 31, 2015 through December 31, 2019 is as follows:</w:t>
      </w:r>
    </w:p>
    <w:p>
      <w:pPr>
        <w:spacing w:after="0" w:line="30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63"/>
        </w:trPr>
        <w:tc>
          <w:tcPr>
            <w:tcW w:w="2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w:t>
            </w:r>
          </w:p>
        </w:tc>
      </w:tr>
      <w:tr>
        <w:trPr>
          <w:trHeight w:val="210"/>
        </w:trPr>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29"/>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26,239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22,236</w:t>
            </w: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Adjusted EBITDA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34,846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49,355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55,411</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60,429</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57,137</w:t>
            </w:r>
          </w:p>
        </w:tc>
      </w:tr>
      <w:tr>
        <w:trPr>
          <w:trHeight w:val="27"/>
        </w:trPr>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324" w:right="180" w:hanging="324"/>
        <w:spacing w:after="0" w:line="224"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years ended December 31, 2015 through December 31, 2017 to conform to the current presentation.</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11" w:right="979" w:bottom="1440" w:gutter="0" w:footer="0" w:header="0"/>
        </w:sectPr>
      </w:pPr>
    </w:p>
    <w:bookmarkStart w:id="21" w:name="page22"/>
    <w:bookmarkEnd w:id="21"/>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Adjusted EBITDA as a percentage of net sales for the years ended December 31, 2015 through December 31, 2019 is as follows:</w:t>
      </w: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88"/>
              </w:rPr>
              <w:t>Years Ended December 31,</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63"/>
        </w:trPr>
        <w:tc>
          <w:tcPr>
            <w:tcW w:w="3640" w:type="dxa"/>
            <w:vAlign w:val="bottom"/>
          </w:tcPr>
          <w:p>
            <w:pPr>
              <w:spacing w:after="0"/>
              <w:rPr>
                <w:sz w:val="22"/>
                <w:szCs w:val="22"/>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r>
              <w:rPr>
                <w:rFonts w:ascii="Arial" w:cs="Arial" w:eastAsia="Arial" w:hAnsi="Arial"/>
                <w:sz w:val="8"/>
                <w:szCs w:val="8"/>
                <w:color w:val="auto"/>
              </w:rPr>
              <w:t>(2)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r>
              <w:rPr>
                <w:rFonts w:ascii="Arial" w:cs="Arial" w:eastAsia="Arial" w:hAnsi="Arial"/>
                <w:sz w:val="8"/>
                <w:szCs w:val="8"/>
                <w:color w:val="auto"/>
              </w:rPr>
              <w:t>(2)</w:t>
            </w: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(1)(2)</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(1)(2)</w:t>
            </w:r>
          </w:p>
        </w:tc>
      </w:tr>
      <w:tr>
        <w:trPr>
          <w:trHeight w:val="210"/>
        </w:trPr>
        <w:tc>
          <w:tcPr>
            <w:tcW w:w="3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left="110"/>
              <w:spacing w:after="0"/>
              <w:rPr>
                <w:sz w:val="20"/>
                <w:szCs w:val="20"/>
                <w:color w:val="auto"/>
              </w:rPr>
            </w:pPr>
            <w:r>
              <w:rPr>
                <w:rFonts w:ascii="Arial" w:cs="Arial" w:eastAsia="Arial" w:hAnsi="Arial"/>
                <w:sz w:val="18"/>
                <w:szCs w:val="18"/>
                <w:color w:val="auto"/>
                <w:w w:val="88"/>
              </w:rPr>
              <w:t>% of net sales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2.9 %</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3.1 %</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5.7 %</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9"/>
                <w:szCs w:val="19"/>
                <w:color w:val="auto"/>
              </w:rPr>
            </w:pPr>
          </w:p>
        </w:tc>
      </w:tr>
      <w:tr>
        <w:trPr>
          <w:trHeight w:val="22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9"/>
                <w:szCs w:val="19"/>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7.9</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540" w:type="dxa"/>
            <w:vAlign w:val="bottom"/>
          </w:tcPr>
          <w:p>
            <w:pPr>
              <w:spacing w:after="0"/>
              <w:rPr>
                <w:sz w:val="19"/>
                <w:szCs w:val="19"/>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0.7</w:t>
            </w:r>
          </w:p>
        </w:tc>
        <w:tc>
          <w:tcPr>
            <w:tcW w:w="12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9"/>
                <w:szCs w:val="19"/>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Adjusted EBITDA</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10.2 %</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16.1 %</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18.6 %</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19.5</w:t>
            </w:r>
          </w:p>
        </w:tc>
        <w:tc>
          <w:tcPr>
            <w:tcW w:w="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324" w:right="180" w:hanging="324"/>
        <w:spacing w:after="0" w:line="209"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years ended December 31, 2015 through December 31, 2017 to conform to the current presentation.</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do not foot due to rounding.</w:t>
      </w:r>
    </w:p>
    <w:p>
      <w:pPr>
        <w:spacing w:after="0" w:line="169" w:lineRule="exact"/>
        <w:rPr>
          <w:sz w:val="20"/>
          <w:szCs w:val="20"/>
          <w:color w:val="auto"/>
        </w:rPr>
      </w:pPr>
    </w:p>
    <w:p>
      <w:pPr>
        <w:ind w:left="4" w:right="40"/>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17" w:lineRule="exact"/>
        <w:rPr>
          <w:sz w:val="20"/>
          <w:szCs w:val="20"/>
          <w:color w:val="auto"/>
        </w:rPr>
      </w:pPr>
    </w:p>
    <w:p>
      <w:pPr>
        <w:ind w:left="4" w:right="1160"/>
        <w:spacing w:after="0" w:line="23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2" w:lineRule="exact"/>
        <w:rPr>
          <w:sz w:val="20"/>
          <w:szCs w:val="20"/>
          <w:color w:val="auto"/>
        </w:rPr>
      </w:pPr>
    </w:p>
    <w:p>
      <w:pPr>
        <w:ind w:left="4" w:right="40"/>
        <w:spacing w:after="0" w:line="218" w:lineRule="auto"/>
        <w:rPr>
          <w:sz w:val="20"/>
          <w:szCs w:val="20"/>
          <w:color w:val="auto"/>
        </w:rPr>
      </w:pPr>
      <w:r>
        <w:rPr>
          <w:rFonts w:ascii="Arial" w:cs="Arial" w:eastAsia="Arial" w:hAnsi="Arial"/>
          <w:sz w:val="17"/>
          <w:szCs w:val="17"/>
          <w:i w:val="1"/>
          <w:iCs w:val="1"/>
          <w:color w:val="auto"/>
        </w:rPr>
        <w:t>You should read the following discussion and analysis together with “Selected Financial Data” and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our anticipated new store openings, remodeling plans, and growth opportunities; our business strengths, marketing strategies, competitive advantages and role in our industry and markets; our ability to successfully implement our strategic plan and the anticipated benefits of our strategic plan; the effectiveness of our marketing strategy; our expectations regarding financing arrangements and our ability to obtain additional capital; supply costs and expectations, including the continued availability of sufficient products from our suppliers and the potential impact of the ongoing coronavirus outbreak emanating from China; our expectations with respect to ongoing compliance with the terms of our credit facility, including the potential impact of the phase out of LIBOR;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ERP system; our ability to remediate material weaknesses in our internal control over financial reporting; our proposed deregistration; the outcome of pending stockholder litigation; and costs and adequacy of insurance.</w:t>
      </w:r>
    </w:p>
    <w:p>
      <w:pPr>
        <w:spacing w:after="0" w:line="134"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w:t>
      </w:r>
    </w:p>
    <w:p>
      <w:pPr>
        <w:spacing w:after="0" w:line="98" w:lineRule="exact"/>
        <w:rPr>
          <w:sz w:val="20"/>
          <w:szCs w:val="20"/>
          <w:color w:val="auto"/>
        </w:rPr>
      </w:pPr>
    </w:p>
    <w:p>
      <w:pPr>
        <w:ind w:left="644" w:hanging="320"/>
        <w:spacing w:after="0"/>
        <w:tabs>
          <w:tab w:leader="none" w:pos="644"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the level of demand for our products;</w:t>
      </w:r>
    </w:p>
    <w:p>
      <w:pPr>
        <w:spacing w:after="0" w:line="55" w:lineRule="exact"/>
        <w:rPr>
          <w:rFonts w:ascii="Arial" w:cs="Arial" w:eastAsia="Arial" w:hAnsi="Arial"/>
          <w:sz w:val="29"/>
          <w:szCs w:val="29"/>
          <w:color w:val="auto"/>
          <w:vertAlign w:val="superscript"/>
        </w:rPr>
      </w:pPr>
    </w:p>
    <w:p>
      <w:pPr>
        <w:ind w:left="644" w:hanging="320"/>
        <w:spacing w:after="0" w:line="186" w:lineRule="auto"/>
        <w:tabs>
          <w:tab w:leader="none" w:pos="644"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our ability to grow and remain profitable in the highly competitive retail tile industry;</w:t>
      </w:r>
    </w:p>
    <w:p>
      <w:pPr>
        <w:spacing w:after="0" w:line="56" w:lineRule="exact"/>
        <w:rPr>
          <w:rFonts w:ascii="Arial" w:cs="Arial" w:eastAsia="Arial" w:hAnsi="Arial"/>
          <w:sz w:val="24"/>
          <w:szCs w:val="24"/>
          <w:color w:val="auto"/>
          <w:vertAlign w:val="superscript"/>
        </w:rPr>
      </w:pPr>
    </w:p>
    <w:p>
      <w:pPr>
        <w:ind w:left="644" w:hanging="320"/>
        <w:spacing w:after="0" w:line="186" w:lineRule="auto"/>
        <w:tabs>
          <w:tab w:leader="none" w:pos="644"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our ability to access additional capital;</w:t>
      </w:r>
    </w:p>
    <w:p>
      <w:pPr>
        <w:spacing w:after="0" w:line="56" w:lineRule="exact"/>
        <w:rPr>
          <w:rFonts w:ascii="Arial" w:cs="Arial" w:eastAsia="Arial" w:hAnsi="Arial"/>
          <w:sz w:val="24"/>
          <w:szCs w:val="24"/>
          <w:color w:val="auto"/>
          <w:vertAlign w:val="superscript"/>
        </w:rPr>
      </w:pPr>
    </w:p>
    <w:p>
      <w:pPr>
        <w:ind w:left="644" w:hanging="320"/>
        <w:spacing w:after="0" w:line="186" w:lineRule="auto"/>
        <w:tabs>
          <w:tab w:leader="none" w:pos="644"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and retain qualified personnel;</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11" w:right="9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6" w:lineRule="exact"/>
        <w:rPr>
          <w:sz w:val="20"/>
          <w:szCs w:val="20"/>
          <w:color w:val="auto"/>
        </w:rPr>
      </w:pPr>
    </w:p>
    <w:p>
      <w:pPr>
        <w:ind w:left="640" w:hanging="320"/>
        <w:spacing w:after="0"/>
        <w:tabs>
          <w:tab w:leader="none" w:pos="64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changes in general economic, business and industry conditions;</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our ability to introduce new products that satisfy market demand; and</w:t>
      </w:r>
    </w:p>
    <w:p>
      <w:pPr>
        <w:spacing w:after="0" w:line="56" w:lineRule="exact"/>
        <w:rPr>
          <w:rFonts w:ascii="Arial" w:cs="Arial" w:eastAsia="Arial" w:hAnsi="Arial"/>
          <w:sz w:val="24"/>
          <w:szCs w:val="24"/>
          <w:color w:val="auto"/>
          <w:vertAlign w:val="superscript"/>
        </w:rPr>
      </w:pPr>
    </w:p>
    <w:p>
      <w:pPr>
        <w:ind w:left="640" w:right="20" w:hanging="320"/>
        <w:spacing w:after="0" w:line="180" w:lineRule="auto"/>
        <w:tabs>
          <w:tab w:leader="none" w:pos="6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legal, regulatory, and tax developments, including additional requirements imposed by changes in domestic and foreign laws and regulations.</w:t>
      </w:r>
    </w:p>
    <w:p>
      <w:pPr>
        <w:spacing w:after="0" w:line="122"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required by law, we undertake no obligation to update publicly any forward-looking statements, whether as a result of new information,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December 31, 2019, we operated 142 stores in 31 states and the District of Columbia, with an average size of approximately 20,000 square feet.</w:t>
      </w:r>
    </w:p>
    <w:p>
      <w:pPr>
        <w:spacing w:after="0" w:line="122" w:lineRule="exact"/>
        <w:rPr>
          <w:sz w:val="20"/>
          <w:szCs w:val="20"/>
          <w:color w:val="auto"/>
        </w:rPr>
      </w:pPr>
    </w:p>
    <w:p>
      <w:pPr>
        <w:ind w:right="140"/>
        <w:spacing w:after="0" w:line="214"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setting and maintenance materials, and related accessories in the United States.</w:t>
      </w:r>
    </w:p>
    <w:p>
      <w:pPr>
        <w:spacing w:after="0" w:line="121" w:lineRule="exact"/>
        <w:rPr>
          <w:sz w:val="20"/>
          <w:szCs w:val="20"/>
          <w:color w:val="auto"/>
        </w:rPr>
      </w:pPr>
    </w:p>
    <w:p>
      <w:pPr>
        <w:jc w:val="both"/>
        <w:ind w:right="180"/>
        <w:spacing w:after="0" w:line="224" w:lineRule="auto"/>
        <w:rPr>
          <w:sz w:val="20"/>
          <w:szCs w:val="20"/>
          <w:color w:val="auto"/>
        </w:rPr>
      </w:pPr>
      <w:r>
        <w:rPr>
          <w:rFonts w:ascii="Arial" w:cs="Arial" w:eastAsia="Arial" w:hAnsi="Arial"/>
          <w:sz w:val="18"/>
          <w:szCs w:val="18"/>
          <w:color w:val="auto"/>
        </w:rPr>
        <w:t>We opened four new stores, relocated one store, and closed two stores in 2019. We plan to open one new store in 2020. We believe that there will continue to be additional expansion opportunities in the United States and Canada. We expect comparable store sales growth and store unit growth will drive profitability and operational efficiencies.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net sales, operating income and stores opened from 2017 to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88"/>
              </w:rPr>
              <w:t>For the year ended December 31,</w:t>
            </w:r>
          </w:p>
        </w:tc>
        <w:tc>
          <w:tcPr>
            <w:tcW w:w="86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2018</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2017</w:t>
            </w:r>
          </w:p>
        </w:tc>
      </w:tr>
      <w:tr>
        <w:trPr>
          <w:trHeight w:val="209"/>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4"/>
          </w:tcPr>
          <w:p>
            <w:pPr>
              <w:jc w:val="center"/>
              <w:ind w:left="490"/>
              <w:spacing w:after="0"/>
              <w:rPr>
                <w:sz w:val="20"/>
                <w:szCs w:val="20"/>
                <w:color w:val="auto"/>
              </w:rPr>
            </w:pPr>
            <w:r>
              <w:rPr>
                <w:rFonts w:ascii="Arial" w:cs="Arial" w:eastAsia="Arial" w:hAnsi="Arial"/>
                <w:sz w:val="18"/>
                <w:szCs w:val="18"/>
                <w:color w:val="auto"/>
                <w:w w:val="88"/>
              </w:rPr>
              <w:t>(in thousands, except store data)</w:t>
            </w:r>
          </w:p>
        </w:tc>
        <w:tc>
          <w:tcPr>
            <w:tcW w:w="860" w:type="dxa"/>
            <w:vAlign w:val="bottom"/>
          </w:tcPr>
          <w:p>
            <w:pPr>
              <w:spacing w:after="0"/>
              <w:rPr>
                <w:sz w:val="18"/>
                <w:szCs w:val="18"/>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340,351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357,254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18,138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25,846</w:t>
            </w: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38,563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18,170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45,691</w:t>
            </w: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New stores opened during period</w:t>
            </w: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have voluntarily delisted our common stock from Nasdaq and intend to deregister our common stock under the Exchange Act, subject to applicable law and any orders or injunctions issued in the litigation described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48"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Comparable store sales growth is the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Company management believes the comparable store sales (decline) growth metric provides useful information to both management and investors to evaluate the Company’s performance, the effectiveness of its strategy and its competitive position.</w:t>
      </w:r>
    </w:p>
    <w:p>
      <w:pPr>
        <w:spacing w:after="0" w:line="10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 Cost of sales consists primarily of material costs, freight, custom and duty fees, and storage and delivery of product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customers, as well as physical inventory losses and costs associated with manufacturing of setting and maintenance materials.</w:t>
      </w:r>
    </w:p>
    <w:p>
      <w:pPr>
        <w:spacing w:after="0" w:line="8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w:t>
      </w:r>
    </w:p>
    <w:p>
      <w:pPr>
        <w:spacing w:after="0" w:line="12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 shipping and transportation expenses to move inventory from our distribution centers to our stores, and depreciation and amortization.</w:t>
      </w:r>
    </w:p>
    <w:p>
      <w:pPr>
        <w:spacing w:after="0" w:line="122"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compensation costs and promotional costs. We expense pre-opening costs as incurred and include these costs in selling, general and administrative expenses.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We are subject to income tax in the United States as well as other tax jurisdictions in which we conduct business.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40"/>
          </w:cols>
          <w:pgMar w:left="980" w:top="111" w:right="10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2019 to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of sales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 of sales</w:t>
            </w:r>
          </w:p>
        </w:tc>
      </w:tr>
      <w:tr>
        <w:trPr>
          <w:trHeight w:val="169"/>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ind w:left="800"/>
              <w:spacing w:after="0" w:line="169" w:lineRule="exact"/>
              <w:rPr>
                <w:sz w:val="20"/>
                <w:szCs w:val="20"/>
                <w:color w:val="auto"/>
              </w:rPr>
            </w:pPr>
            <w:r>
              <w:rPr>
                <w:rFonts w:ascii="Arial" w:cs="Arial" w:eastAsia="Arial" w:hAnsi="Arial"/>
                <w:sz w:val="18"/>
                <w:szCs w:val="18"/>
                <w:color w:val="auto"/>
              </w:rPr>
              <w:t>(in thousands)</w:t>
            </w:r>
          </w:p>
        </w:tc>
        <w:tc>
          <w:tcPr>
            <w:tcW w:w="1240" w:type="dxa"/>
            <w:vAlign w:val="bottom"/>
          </w:tcPr>
          <w:p>
            <w:pPr>
              <w:spacing w:after="0"/>
              <w:rPr>
                <w:sz w:val="14"/>
                <w:szCs w:val="14"/>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104,232</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29.6 %</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70.4 %</w:t>
            </w: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237,476</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65.3 %</w:t>
            </w: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5.1 %</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(3,792)</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(2,690)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(5,137)</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15,600</w:t>
            </w:r>
          </w:p>
        </w:tc>
        <w:tc>
          <w:tcPr>
            <w:tcW w:w="1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4.4 %</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r>
        <w:trPr>
          <w:trHeight w:val="217"/>
        </w:trPr>
        <w:tc>
          <w:tcPr>
            <w:tcW w:w="464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1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2.9 %</w:t>
            </w:r>
          </w:p>
        </w:tc>
      </w:tr>
    </w:tbl>
    <w:p>
      <w:pPr>
        <w:spacing w:after="0" w:line="148"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 Net sales for fiscal year 2019 decreased $16.9 million, or 4.7%, in fiscal year 2019 compared to fiscal year 2018,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a decrease in sales at comparable stores of 4.6% during fiscal year 2019. The decrease in sales at comparable stores was primarily due to weaker store traffic and customer issues following the implementation of a new enterprise resource planning system on January 1, 2019. Net sales for the fourth quarter of fiscal year 2019 decreased $5.4 million, or 6.4%, over the fourth quarter of fiscal year 2018, primarily due to a decrease in sales at comparable stores of 6.6% during the fourth quarter of fiscal year 2019. The decrease in comparable store sales for the fourth quarter was attributable to weaker store traffic.</w:t>
      </w:r>
    </w:p>
    <w:p>
      <w:pPr>
        <w:spacing w:after="0" w:line="124"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 Gross profit decreased $15.2 million, or 6.1%, in fiscal year 2019 compared to fiscal year 2018. The gross margin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69.4% and 70.4% for fiscal years 2019 and 2018, respectively. Gross profit decreased $5.2 million, or 8.9% in the fourth quarter of fiscal year 2019 compared to the fourth quarter of fiscal year 2018. The gross margin rate was 68.4% and 70.3% during the fourth quarter of fiscal years 2019 and 2018, respectively. The decrease in gross profit for the year and the fourth quarter was attributable to higher levels of discounts, an increase in shrink and damaged inventory write-offs, and a lower freight collection rate.</w:t>
      </w:r>
    </w:p>
    <w:p>
      <w:pPr>
        <w:spacing w:after="0" w:line="125"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$4.3 million, or 1.8%,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2019 compared to fiscal year 2018. The increase was primarily due to higher levels of occupancy expenses, information technology consulting expenses related to the implementation of our new enterprise resource planning system, and advertising costs that were partially offset by lower levels of variable store compensation expenses. Selling, general and administrative expenses decreased $0.1 million, or 0.2%, from $58.3 million in the fourth quarter of fiscal year 2018 to $58.2 million in the fourth quarter of fiscal year</w:t>
      </w:r>
    </w:p>
    <w:p>
      <w:pPr>
        <w:ind w:right="300"/>
        <w:spacing w:after="0" w:line="226" w:lineRule="auto"/>
        <w:rPr>
          <w:sz w:val="20"/>
          <w:szCs w:val="20"/>
          <w:color w:val="auto"/>
        </w:rPr>
      </w:pPr>
      <w:r>
        <w:rPr>
          <w:rFonts w:ascii="Arial" w:cs="Arial" w:eastAsia="Arial" w:hAnsi="Arial"/>
          <w:sz w:val="18"/>
          <w:szCs w:val="18"/>
          <w:color w:val="auto"/>
        </w:rPr>
        <w:t>2019. The decrease in selling, general and administrative expenses was driven primarily by a decrease in variable store compensation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–During fiscal years 2019 and 2018, we recorded pre-opening costs of $0.6 million and $0.1 million, respectively.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pre-opening costs was due to an increase in the number of stores opened in 2019.</w:t>
      </w:r>
    </w:p>
    <w:p>
      <w:pPr>
        <w:spacing w:after="0" w:line="128"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 Income from operations decreased by $19.5 million, or 107.5%, in fiscal year 2019 compared to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Operating income margin decreased to (0.4)% in fiscal year 2019, compared to 5.1% for fiscal year 2018 due to the decrease in sales and lower gross margin rate, and higher selling, general and administrative expenses.</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increased $1.1 million, or 41.0%, for fiscal year 2019 compared to fiscal year 2018. The increase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our average debt balance during fiscal year 2019.</w:t>
      </w:r>
    </w:p>
    <w:p>
      <w:pPr>
        <w:spacing w:after="0" w:line="121"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 The income tax provision decreased $5.8 million for fiscal year 2019 compared to fiscal year 2018.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provision decreased $2.0 million in the fourth quarter of fiscal year 2019 compared to the fourth quarter of fiscal</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year 2018. The decrease in tax provision for both the year and the fourth quarter is primarily due to the lower level of pretax income in 2019.</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2018 to the Year Ended December 31, 2017</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2017</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r>
      <w:tr>
        <w:trPr>
          <w:trHeight w:val="183"/>
        </w:trPr>
        <w:tc>
          <w:tcPr>
            <w:tcW w:w="3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29.6 %</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31.5 %</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70.4 %</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68.5 %</w:t>
            </w: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65.3 %</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61.0 %</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7.5 %</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(2,690)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(1,857)</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24,159</w:t>
            </w:r>
          </w:p>
        </w:tc>
        <w:tc>
          <w:tcPr>
            <w:tcW w:w="1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7.0 %</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(5,158)</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(13,340)</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17"/>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3.1 %</w:t>
            </w: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do not foot due to rounding.</w:t>
      </w:r>
    </w:p>
    <w:p>
      <w:pPr>
        <w:spacing w:after="0" w:line="185" w:lineRule="exact"/>
        <w:rPr>
          <w:sz w:val="20"/>
          <w:szCs w:val="20"/>
          <w:color w:val="auto"/>
        </w:rPr>
      </w:pPr>
    </w:p>
    <w:p>
      <w:pPr>
        <w:ind w:right="40"/>
        <w:spacing w:after="0" w:line="222"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 Net sales for fiscal year 2018 increased $12.7 million, or 3.7%, over fiscal year 2017, primarily due to a $14.8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net sales from new stores not included in the comparable store base, partially offset by a decrease of $2.1 million in net sales generated by comparable stores. Comparable store sales declined 0.6% for fiscal year 2018, compared to a comparable store sales growth of 0.5% for fiscal year 2017. The decrease in net sales at comparable stores was primarily attributable to weaker store traffic, which was caused in part by our shift in promotional strategy. Net sales for the fourth quarter of fiscal year 2018 increased $5.4 million, or 6.8%, over the fourth quarter of fiscal year 2017, primarily due to comparable store sales growth of 5.0% during the fourth quarter of fiscal year 2018. The increase in sales at comparable stores for the fourth quarter of fiscal year 2018 is attributable to an increase in the average order value due to decreased promotional activity and an increase in the average selling price of products added to our assortment over the last twelve months.</w:t>
      </w:r>
    </w:p>
    <w:p>
      <w:pPr>
        <w:spacing w:after="0" w:line="128"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increased $15.1 million, or 6.4%, for fiscal year 2018 compared to fiscal year 2017. The gross margin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70.4% and 68.5% for fiscal years 2018 and 2017, respectively. Gross profit increased $6.5 million in the fourth quarter of fiscal year 2018 compared to the fourth quarter of fiscal year 2017. The gross margin rate was 70.3% and 66.8% during the fourth quarter of fiscal years 2018 and 2017, respectively. The increase in gross profit for the year and the fourth quarter was attributable to the increase in sales and the gross margin rate. The improvement in the gross margin rate for the year and the fourth quarter was primarily due to decreased promotional activity.</w:t>
      </w:r>
    </w:p>
    <w:p>
      <w:pPr>
        <w:spacing w:after="0" w:line="121"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$22.8 million, or 10.8%,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2018 compared to fiscal year 2017. The $22.8 million increase was primarily due to an increase in variable selling expenses and $8.6 million of planned strategic investments for store and distribution center compensation, regional sales leadership, pro market managers, and developing customer relationship management capabilities. Selling, general and administrative expenses increased $2.1 million, or 3.8%, from $56.1 million in the fourth quarter of fiscal year 2017 to $58.3 million in the fourth quarter of fiscal year 2018. The $2.1 million increase was primarily due to $1.7 million in investments in the previously mentioned strategic initiatives.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–During fiscal years 2018 and 2017, we recorded pre-opening costs of $0.1 million and $1.7 million, respectively.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pre-opening costs was due to a decrease in the number of new store openings in 2018.</w:t>
      </w:r>
    </w:p>
    <w:p>
      <w:pPr>
        <w:spacing w:after="0" w:line="128"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 Income from operations decreased by $7.7 million, or 29.8%, for fiscal year 2018 compared to fiscal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The decrease is attributable to an increase in selling, general and administrative expenses, partially offset by an increase in gross profit. Operating income margin decreased to 5.1% for fiscal year 2018, compared to 7.5% for fiscal year 2017 due to increased selling, general and administrative expenses that outpaced sales growth and a higher gross margin rate.</w:t>
      </w:r>
    </w:p>
    <w:p>
      <w:pPr>
        <w:spacing w:after="0" w:line="12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 Interest expense increased $0.8 million, or 44.9%, for fiscal year 2018 compared to fiscal year 2017. The increase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an increase in the interest rates and an increase in our average debt balance during fiscal year 2018.</w:t>
      </w:r>
    </w:p>
    <w:p>
      <w:pPr>
        <w:spacing w:after="0" w:line="106" w:lineRule="exact"/>
        <w:rPr>
          <w:sz w:val="20"/>
          <w:szCs w:val="20"/>
          <w:color w:val="auto"/>
        </w:rPr>
      </w:pPr>
    </w:p>
    <w:p>
      <w:pPr>
        <w:ind w:right="180"/>
        <w:spacing w:after="0" w:line="228"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 The income tax provision decreased $8.2 million for fiscal year 2018 compared to fiscal year 2017.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was 33.1% in 2018 and 55.2% in 2017. The decrease in the effective tax rate is primarily attributable to the Tax Act, which reduced the U.S federal statutory tax rate from 35% in 2017 to 21% in 2018. Income tax expense in the fourth quarter of fiscal year 2017 also included a $4.6 million charge to reduce the value of our deferred tax assets in accordance with the Tax Act. Income tax expense in fiscal year 2018 includes $1.2 million of stock based compensation tax shortfall charges.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26" w:name="page27"/>
    <w:bookmarkEnd w:id="2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Measures</w:t>
      </w:r>
    </w:p>
    <w:p>
      <w:pPr>
        <w:spacing w:after="0" w:line="148" w:lineRule="exact"/>
        <w:rPr>
          <w:sz w:val="20"/>
          <w:szCs w:val="20"/>
          <w:color w:val="auto"/>
        </w:rPr>
      </w:pPr>
    </w:p>
    <w:p>
      <w:pPr>
        <w:ind w:left="4" w:right="280"/>
        <w:spacing w:after="0" w:line="235" w:lineRule="auto"/>
        <w:rPr>
          <w:sz w:val="20"/>
          <w:szCs w:val="20"/>
          <w:color w:val="auto"/>
        </w:rPr>
      </w:pPr>
      <w:r>
        <w:rPr>
          <w:rFonts w:ascii="Arial" w:cs="Arial" w:eastAsia="Arial" w:hAnsi="Arial"/>
          <w:sz w:val="18"/>
          <w:szCs w:val="18"/>
          <w:color w:val="auto"/>
        </w:rPr>
        <w:t>We calculate Adjusted EBITDA by taking net income calculated in accordance with GAAP and adjusting for interest expense, income taxes, depreciation and amortization, and stock based compensation expense.</w:t>
      </w:r>
    </w:p>
    <w:p>
      <w:pPr>
        <w:spacing w:after="0" w:line="121" w:lineRule="exact"/>
        <w:rPr>
          <w:sz w:val="20"/>
          <w:szCs w:val="20"/>
          <w:color w:val="auto"/>
        </w:rPr>
      </w:pPr>
    </w:p>
    <w:p>
      <w:pPr>
        <w:ind w:left="4" w:right="60"/>
        <w:spacing w:after="0" w:line="239" w:lineRule="auto"/>
        <w:rPr>
          <w:sz w:val="20"/>
          <w:szCs w:val="20"/>
          <w:color w:val="auto"/>
        </w:rPr>
      </w:pPr>
      <w:r>
        <w:rPr>
          <w:rFonts w:ascii="Arial" w:cs="Arial" w:eastAsia="Arial" w:hAnsi="Arial"/>
          <w:sz w:val="16"/>
          <w:szCs w:val="16"/>
          <w:color w:val="auto"/>
        </w:rPr>
        <w:t>We believe that this non-GAAP measure of financial results provides useful information to management and investors regarding certain financial and business trends relating to our financial condition and results of operations. Our management uses this non-GAAP measure to compare our performance to that of prior periods for trend analyses, for purposes of determining management incentive compensation, for budgeting and planning purposes, and for assessing the effectiveness of capital allocation over time. This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measures with other specialty retailers, many of which present a similar non-GAAP financial measure to investors.</w:t>
      </w:r>
    </w:p>
    <w:p>
      <w:pPr>
        <w:spacing w:after="0" w:line="121" w:lineRule="exact"/>
        <w:rPr>
          <w:sz w:val="20"/>
          <w:szCs w:val="20"/>
          <w:color w:val="auto"/>
        </w:rPr>
      </w:pPr>
    </w:p>
    <w:p>
      <w:pPr>
        <w:ind w:left="4" w:right="260"/>
        <w:spacing w:after="0" w:line="235" w:lineRule="auto"/>
        <w:rPr>
          <w:sz w:val="20"/>
          <w:szCs w:val="20"/>
          <w:color w:val="auto"/>
        </w:rPr>
      </w:pPr>
      <w:r>
        <w:rPr>
          <w:rFonts w:ascii="Arial" w:cs="Arial" w:eastAsia="Arial" w:hAnsi="Arial"/>
          <w:sz w:val="18"/>
          <w:szCs w:val="18"/>
          <w:color w:val="auto"/>
        </w:rPr>
        <w:t>The reconciliation of Adjusted EBITDA to net (loss) income for the years ended December 31, 2015 through December 31, 2019 is as follows: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69"/>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w:t>
            </w:r>
          </w:p>
        </w:tc>
      </w:tr>
      <w:tr>
        <w:trPr>
          <w:trHeight w:val="169"/>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gridSpan w:val="4"/>
          </w:tcPr>
          <w:p>
            <w:pPr>
              <w:jc w:val="center"/>
              <w:ind w:right="260"/>
              <w:spacing w:after="0" w:line="169" w:lineRule="exact"/>
              <w:rPr>
                <w:sz w:val="20"/>
                <w:szCs w:val="20"/>
                <w:color w:val="auto"/>
              </w:rPr>
            </w:pPr>
            <w:r>
              <w:rPr>
                <w:rFonts w:ascii="Arial" w:cs="Arial" w:eastAsia="Arial" w:hAnsi="Arial"/>
                <w:sz w:val="18"/>
                <w:szCs w:val="18"/>
                <w:color w:val="auto"/>
                <w:w w:val="89"/>
              </w:rPr>
              <w:t>(in thousands)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22,236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Adjusted EBITDA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34,846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49,355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55,411</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60,429</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57,137</w:t>
            </w:r>
          </w:p>
        </w:tc>
      </w:tr>
      <w:tr>
        <w:trPr>
          <w:trHeight w:val="27"/>
        </w:trPr>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324" w:right="160" w:hanging="324"/>
        <w:spacing w:after="0" w:line="224"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which consisted of equity-related transaction costs, litigation and investigation costs, and the write-off of debt issuance costs. We have modified the Adjusted EBITDA presentation for the years ended December 31, 2015 through December 31, 2017 to conform to the current presentation.</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7"/>
          <w:szCs w:val="17"/>
          <w:color w:val="auto"/>
        </w:rPr>
        <w:t>Adjusted EBITDA as a percentage of net sales for the years ended December 31, 2015 through December 31, 2019 is as follows:</w:t>
      </w:r>
    </w:p>
    <w:p>
      <w:pPr>
        <w:spacing w:after="0" w:line="27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color w:val="auto"/>
                <w:w w:val="88"/>
              </w:rPr>
              <w:t>Years Ended December 31,</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69"/>
        </w:trPr>
        <w:tc>
          <w:tcPr>
            <w:tcW w:w="3780" w:type="dxa"/>
            <w:vAlign w:val="bottom"/>
          </w:tcPr>
          <w:p>
            <w:pPr>
              <w:spacing w:after="0"/>
              <w:rPr>
                <w:sz w:val="14"/>
                <w:szCs w:val="14"/>
                <w:color w:val="auto"/>
              </w:rPr>
            </w:pPr>
          </w:p>
        </w:tc>
        <w:tc>
          <w:tcPr>
            <w:tcW w:w="1040" w:type="dxa"/>
            <w:vAlign w:val="bottom"/>
            <w:tcBorders>
              <w:bottom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2019</w:t>
            </w:r>
            <w:r>
              <w:rPr>
                <w:rFonts w:ascii="Arial" w:cs="Arial" w:eastAsia="Arial" w:hAnsi="Arial"/>
                <w:sz w:val="8"/>
                <w:szCs w:val="8"/>
                <w:color w:val="auto"/>
              </w:rPr>
              <w:t>(2)</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2018</w:t>
            </w:r>
            <w:r>
              <w:rPr>
                <w:rFonts w:ascii="Arial" w:cs="Arial" w:eastAsia="Arial" w:hAnsi="Arial"/>
                <w:sz w:val="8"/>
                <w:szCs w:val="8"/>
                <w:color w:val="auto"/>
              </w:rPr>
              <w:t>(2)</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2017</w:t>
            </w:r>
            <w:r>
              <w:rPr>
                <w:rFonts w:ascii="Arial" w:cs="Arial" w:eastAsia="Arial" w:hAnsi="Arial"/>
                <w:sz w:val="8"/>
                <w:szCs w:val="8"/>
                <w:color w:val="auto"/>
                <w:w w:val="93"/>
              </w:rPr>
              <w:t>(1)(2)</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w w:val="92"/>
              </w:rPr>
              <w:t>2016</w:t>
            </w:r>
            <w:r>
              <w:rPr>
                <w:rFonts w:ascii="Arial" w:cs="Arial" w:eastAsia="Arial" w:hAnsi="Arial"/>
                <w:sz w:val="8"/>
                <w:szCs w:val="8"/>
                <w:color w:val="auto"/>
                <w:w w:val="92"/>
              </w:rPr>
              <w:t>(1)</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(1)(2)</w:t>
            </w:r>
          </w:p>
        </w:tc>
      </w:tr>
      <w:tr>
        <w:trPr>
          <w:trHeight w:val="169"/>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460"/>
              <w:spacing w:after="0" w:line="169" w:lineRule="exact"/>
              <w:rPr>
                <w:sz w:val="20"/>
                <w:szCs w:val="20"/>
                <w:color w:val="auto"/>
              </w:rPr>
            </w:pPr>
            <w:r>
              <w:rPr>
                <w:rFonts w:ascii="Arial" w:cs="Arial" w:eastAsia="Arial" w:hAnsi="Arial"/>
                <w:sz w:val="18"/>
                <w:szCs w:val="18"/>
                <w:color w:val="auto"/>
                <w:w w:val="88"/>
              </w:rPr>
              <w:t>% of net sales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3.1 %</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5.7 %</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5.4 %</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0.9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7.6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16.1 %</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18.6 %</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19.5 %</w:t>
            </w:r>
          </w:p>
        </w:tc>
      </w:tr>
    </w:tbl>
    <w:p>
      <w:pPr>
        <w:spacing w:after="0" w:line="148" w:lineRule="exact"/>
        <w:rPr>
          <w:sz w:val="20"/>
          <w:szCs w:val="20"/>
          <w:color w:val="auto"/>
        </w:rPr>
      </w:pPr>
    </w:p>
    <w:p>
      <w:pPr>
        <w:ind w:left="324" w:right="160" w:hanging="324"/>
        <w:spacing w:after="0" w:line="209"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which consisted of equity-related transaction costs, litigation and investigation costs, and the write-off of debt issuance costs. We have modified the Adjusted EBITDA presentation for the years ended December 31, 2015 through December 31, 2017 to conform to the current presentation.</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do not foot due to rounding.</w:t>
      </w:r>
    </w:p>
    <w:p>
      <w:pPr>
        <w:spacing w:after="0" w:line="169" w:lineRule="exact"/>
        <w:rPr>
          <w:sz w:val="20"/>
          <w:szCs w:val="20"/>
          <w:color w:val="auto"/>
        </w:rPr>
      </w:pPr>
    </w:p>
    <w:p>
      <w:pPr>
        <w:ind w:left="4" w:right="100"/>
        <w:spacing w:after="0" w:line="216" w:lineRule="auto"/>
        <w:rPr>
          <w:sz w:val="20"/>
          <w:szCs w:val="20"/>
          <w:color w:val="auto"/>
        </w:rPr>
      </w:pPr>
      <w:r>
        <w:rPr>
          <w:rFonts w:ascii="Arial" w:cs="Arial" w:eastAsia="Arial" w:hAnsi="Arial"/>
          <w:sz w:val="18"/>
          <w:szCs w:val="18"/>
          <w:color w:val="auto"/>
        </w:rPr>
        <w:t>We calculate pretax return on capital employed by taking income (loss) from operations divided by capital employed. Capital employed equals total assets less accounts payable, income taxes payable, other accrued liabilities, deferred rent, lease liability and other long-term liabilities. We believe this non-GAAP measure is useful in assessing the effectiveness of our capital allocation over time. Other companies may calculate pretax return on capital employed differently, which limits the usefulness of the measure for comparative purposes.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11" w:right="979" w:bottom="1440" w:gutter="0" w:footer="0" w:header="0"/>
        </w:sectPr>
      </w:pPr>
    </w:p>
    <w:bookmarkStart w:id="27" w:name="page28"/>
    <w:bookmarkEnd w:id="27"/>
    <w:tbl>
      <w:tblPr>
        <w:tblLayout w:type="fixed"/>
        <w:tblInd w:w="4"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3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9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2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69"/>
        </w:trPr>
        <w:tc>
          <w:tcPr>
            <w:tcW w:w="132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88"/>
              </w:rPr>
              <w:t>2018</w:t>
            </w:r>
            <w:r>
              <w:rPr>
                <w:rFonts w:ascii="Arial" w:cs="Arial" w:eastAsia="Arial" w:hAnsi="Arial"/>
                <w:sz w:val="8"/>
                <w:szCs w:val="8"/>
                <w:b w:val="1"/>
                <w:bCs w:val="1"/>
                <w:color w:val="auto"/>
                <w:w w:val="88"/>
              </w:rPr>
              <w:t>(1)</w:t>
            </w:r>
          </w:p>
        </w:tc>
        <w:tc>
          <w:tcPr>
            <w:tcW w:w="220" w:type="dxa"/>
            <w:vAlign w:val="bottom"/>
            <w:tcBorders>
              <w:bottom w:val="single" w:sz="8" w:color="auto"/>
            </w:tcBorders>
          </w:tcPr>
          <w:p>
            <w:pPr>
              <w:spacing w:after="0"/>
              <w:rPr>
                <w:sz w:val="14"/>
                <w:szCs w:val="14"/>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220" w:type="dxa"/>
            <w:vAlign w:val="bottom"/>
            <w:shd w:val="clear" w:color="auto" w:fill="CCEEFF"/>
          </w:tcPr>
          <w:p>
            <w:pPr>
              <w:spacing w:after="0"/>
              <w:rPr>
                <w:sz w:val="18"/>
                <w:szCs w:val="18"/>
                <w:color w:val="auto"/>
              </w:rPr>
            </w:pPr>
          </w:p>
        </w:tc>
      </w:tr>
      <w:tr>
        <w:trPr>
          <w:trHeight w:val="175"/>
        </w:trPr>
        <w:tc>
          <w:tcPr>
            <w:tcW w:w="13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288,722</w:t>
            </w:r>
          </w:p>
        </w:tc>
        <w:tc>
          <w:tcPr>
            <w:tcW w:w="22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Less: Accounts payable</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(23,362)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(27,785)</w:t>
            </w:r>
          </w:p>
        </w:tc>
      </w:tr>
      <w:tr>
        <w:trPr>
          <w:trHeight w:val="216"/>
        </w:trPr>
        <w:tc>
          <w:tcPr>
            <w:tcW w:w="4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Income tax payable</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Less: Other accrued liabilities</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(27,269)</w:t>
            </w:r>
          </w:p>
        </w:tc>
      </w:tr>
      <w:tr>
        <w:trPr>
          <w:trHeight w:val="216"/>
        </w:trPr>
        <w:tc>
          <w:tcPr>
            <w:tcW w:w="4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Less: Lease liability</w:t>
            </w:r>
            <w:r>
              <w:rPr>
                <w:rFonts w:ascii="Arial" w:cs="Arial" w:eastAsia="Arial" w:hAnsi="Arial"/>
                <w:sz w:val="8"/>
                <w:szCs w:val="8"/>
                <w:color w:val="auto"/>
              </w:rPr>
              <w:t>(2)</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(162,077)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(42,974)</w:t>
            </w: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Less: Other long-term liabilities</w:t>
            </w:r>
          </w:p>
        </w:tc>
        <w:tc>
          <w:tcPr>
            <w:tcW w:w="2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(3,816)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(4,091)</w:t>
            </w:r>
          </w:p>
        </w:tc>
      </w:tr>
      <w:tr>
        <w:trPr>
          <w:trHeight w:val="217"/>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Employed</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186,492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3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Return on Capital Employed</w:t>
            </w: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9.7 %</w:t>
            </w:r>
          </w:p>
        </w:tc>
      </w:tr>
    </w:tbl>
    <w:p>
      <w:pPr>
        <w:spacing w:after="0" w:line="148" w:lineRule="exact"/>
        <w:rPr>
          <w:sz w:val="20"/>
          <w:szCs w:val="20"/>
          <w:color w:val="auto"/>
        </w:rPr>
      </w:pPr>
    </w:p>
    <w:p>
      <w:pPr>
        <w:ind w:left="324" w:right="600" w:hanging="324"/>
        <w:spacing w:after="0" w:line="239"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statement accounts represent the activity for the fiscal year ended as of each of the balance sheet dates. Balance sheet accounts represent the average account balance for the four quarters ended as of each of the balance sheet dates.</w:t>
      </w:r>
    </w:p>
    <w:p>
      <w:pPr>
        <w:ind w:left="324" w:right="220" w:hanging="324"/>
        <w:spacing w:after="0" w:line="226"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average lease liability and deferred rent account balances for the four quarters ended as of each of the balance sheet dates.</w:t>
      </w:r>
    </w:p>
    <w:p>
      <w:pPr>
        <w:spacing w:after="0" w:line="121" w:lineRule="exact"/>
        <w:rPr>
          <w:sz w:val="20"/>
          <w:szCs w:val="20"/>
          <w:color w:val="auto"/>
        </w:rPr>
      </w:pPr>
    </w:p>
    <w:p>
      <w:pPr>
        <w:ind w:left="4" w:right="40"/>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4" w:right="240"/>
        <w:spacing w:after="0" w:line="219"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$9.1 million of cash and cash equivalents at December 31, 2019, our cash flow from operations, and borrowings available under our credit facility. We expect to use this liquidity for opening new stores, purchasing additional merchandise inventory, maintaining our existing stores, reducing outstanding debt, and general corporate purposes.</w:t>
      </w:r>
    </w:p>
    <w:p>
      <w:pPr>
        <w:spacing w:after="0" w:line="122" w:lineRule="exact"/>
        <w:rPr>
          <w:sz w:val="20"/>
          <w:szCs w:val="20"/>
          <w:color w:val="auto"/>
        </w:rPr>
      </w:pPr>
    </w:p>
    <w:p>
      <w:pPr>
        <w:ind w:left="4" w:right="200"/>
        <w:spacing w:after="0" w:line="221" w:lineRule="auto"/>
        <w:rPr>
          <w:sz w:val="20"/>
          <w:szCs w:val="20"/>
          <w:color w:val="auto"/>
        </w:rPr>
      </w:pPr>
      <w:r>
        <w:rPr>
          <w:rFonts w:ascii="Arial" w:cs="Arial" w:eastAsia="Arial" w:hAnsi="Arial"/>
          <w:sz w:val="17"/>
          <w:szCs w:val="17"/>
          <w:color w:val="auto"/>
        </w:rPr>
        <w:t>On September 18, 2018, we entered into a credit agreement with Bank of America, N.A., Fifth Third Bank and Citizens Bank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December 31, 2019, the LIBOR-based interest rate was 4.01% and the base rate was 6.00%. Borrowings outstanding consisted of $63.0 million on the revolving line of credit as of December 31, 2019. We also have standby letters of credit outstanding related to our workers’ compensation and medical insurance policies. As of December 31, 2019 and 2018, the standby letters of credit totaled $1.3 million and $1.1 million, respectively. There was $35.7 million available for borrowing on the revolving line of credit as of December 31, 2019, which may be used to support our growth and for working capital purposes.</w:t>
      </w:r>
    </w:p>
    <w:p>
      <w:pPr>
        <w:spacing w:after="0" w:line="126" w:lineRule="exact"/>
        <w:rPr>
          <w:sz w:val="20"/>
          <w:szCs w:val="20"/>
          <w:color w:val="auto"/>
        </w:rPr>
      </w:pPr>
    </w:p>
    <w:p>
      <w:pPr>
        <w:ind w:left="4" w:right="320"/>
        <w:spacing w:after="0" w:line="244" w:lineRule="auto"/>
        <w:rPr>
          <w:sz w:val="20"/>
          <w:szCs w:val="20"/>
          <w:color w:val="auto"/>
        </w:rPr>
      </w:pPr>
      <w:r>
        <w:rPr>
          <w:rFonts w:ascii="Arial" w:cs="Arial" w:eastAsia="Arial" w:hAnsi="Arial"/>
          <w:sz w:val="16"/>
          <w:szCs w:val="16"/>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December 31, 2019.</w:t>
      </w:r>
    </w:p>
    <w:p>
      <w:pPr>
        <w:spacing w:after="0" w:line="118" w:lineRule="exact"/>
        <w:rPr>
          <w:sz w:val="20"/>
          <w:szCs w:val="20"/>
          <w:color w:val="auto"/>
        </w:rPr>
      </w:pPr>
    </w:p>
    <w:p>
      <w:pPr>
        <w:ind w:left="4" w:right="120"/>
        <w:spacing w:after="0" w:line="289"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2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95" w:right="9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 expenditures for the fiscal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color w:val="auto"/>
                <w:w w:val="88"/>
              </w:rPr>
              <w:t>Years Ended December 31,</w:t>
            </w:r>
          </w:p>
        </w:tc>
      </w:tr>
      <w:tr>
        <w:trPr>
          <w:trHeight w:val="169"/>
        </w:trPr>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0"/>
              <w:spacing w:after="0" w:line="169" w:lineRule="exact"/>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0"/>
              <w:spacing w:after="0" w:line="169" w:lineRule="exact"/>
              <w:rPr>
                <w:sz w:val="20"/>
                <w:szCs w:val="20"/>
                <w:color w:val="auto"/>
              </w:rPr>
            </w:pPr>
            <w:r>
              <w:rPr>
                <w:rFonts w:ascii="Arial" w:cs="Arial" w:eastAsia="Arial" w:hAnsi="Arial"/>
                <w:sz w:val="18"/>
                <w:szCs w:val="18"/>
                <w:color w:val="auto"/>
              </w:rPr>
              <w:t>2017</w:t>
            </w:r>
          </w:p>
        </w:tc>
      </w:tr>
      <w:tr>
        <w:trPr>
          <w:trHeight w:val="169"/>
        </w:trPr>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New store building and existing store remodels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Information technology infrastructure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manufacturing facilities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corporate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67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intend to open one store during 2020. Total capital expenditures are expected to be approximately $10 million to $13 million in fiscal year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for the years ended December 31, 2019,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8"/>
                <w:szCs w:val="18"/>
                <w:color w:val="auto"/>
                <w:w w:val="88"/>
              </w:rPr>
              <w:t>For the year ended December 31,</w:t>
            </w:r>
          </w:p>
        </w:tc>
      </w:tr>
      <w:tr>
        <w:trPr>
          <w:trHeight w:val="209"/>
        </w:trPr>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09"/>
        </w:trPr>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18,170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45,691</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(26,390)</w:t>
            </w:r>
          </w:p>
        </w:tc>
        <w:tc>
          <w:tcPr>
            <w:tcW w:w="160" w:type="dxa"/>
            <w:vAlign w:val="bottom"/>
          </w:tcPr>
          <w:p>
            <w:pPr>
              <w:spacing w:after="0"/>
              <w:rPr>
                <w:sz w:val="19"/>
                <w:szCs w:val="19"/>
                <w:color w:val="auto"/>
              </w:rPr>
            </w:pP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92"/>
              </w:rPr>
              <w:t>(34,143)</w:t>
            </w:r>
          </w:p>
        </w:tc>
        <w:tc>
          <w:tcPr>
            <w:tcW w:w="34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w w:val="92"/>
              </w:rPr>
              <w:t>(40,549)</w:t>
            </w: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14,931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(10,620)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Cash flows from operating activities provide us with a significant source of liquidity. Net cash provided by operating activities was $38.6 million, $18.2 million, and $45.7 million in fiscal years 2019, 2018 and 2017, respectively. The increase in operating cash flows in fiscal year 2019 compared to fiscal year 2018 was primarily due to a $12.5 million decrease in inventory. In fiscal year 2018, inventory increased by $24.8 million. The decrease in operating cash flows in fiscal year 2018 compared to fiscal year 2017 was primarily due to a $24.8 million increase in inventory and an $8.2 million decrease in accounts payable.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420"/>
        <w:spacing w:after="0" w:line="237" w:lineRule="auto"/>
        <w:rPr>
          <w:sz w:val="20"/>
          <w:szCs w:val="20"/>
          <w:color w:val="auto"/>
        </w:rPr>
      </w:pPr>
      <w:r>
        <w:rPr>
          <w:rFonts w:ascii="Arial" w:cs="Arial" w:eastAsia="Arial" w:hAnsi="Arial"/>
          <w:sz w:val="17"/>
          <w:szCs w:val="17"/>
          <w:color w:val="auto"/>
        </w:rPr>
        <w:t>Net cash used in investing activities was $26.4 million, $34.1 million and $40.5 million in fiscal years 2019, 2018 and 2017, respectively. Net cash used in investing activities was primarily for investing in new stores and store remodels, store merchandising, information technology, and our distribution centers, which included the expansion of our internal fleet.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Net cash (used in) provided by financing activities was $(8.6 million), $14.9 million and $(10.6 million) in fiscal years 2019, 2018 and 2017, respectively. Cash used in financing activities during fiscal year 2019 included $53.2 million of payments of long-term debt and financing lease obligations, $10.5 million of share repurchases and $7.7 million of dividends paid, which were partially offset by $63.0 million of advances on our revolving line of credit. Cash provided by financing activities during fiscal year 2018 included $129.1 million in advances on our revolving line of credit, which was partially offset by $103.3 million in payments of long-term debt and capital lease obligations and an aggregate of $10.4 million in dividends paid to stockholders. Cash used in financing activities during fiscal year 2017 was primarily for payments of long-term debt and capital lease obligations of $36.6 million and an aggregate of $10.4 million in dividends paid to stockholders, offset by advances on our line of credit of $35.0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As of December 31, 2019 and 2018,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29" w:name="page30"/>
    <w:bookmarkEnd w:id="2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144" w:lineRule="exact"/>
        <w:rPr>
          <w:sz w:val="20"/>
          <w:szCs w:val="20"/>
          <w:color w:val="auto"/>
        </w:rPr>
      </w:pPr>
    </w:p>
    <w:p>
      <w:pPr>
        <w:ind w:left="4" w:right="100"/>
        <w:spacing w:after="0" w:line="235" w:lineRule="auto"/>
        <w:rPr>
          <w:sz w:val="20"/>
          <w:szCs w:val="20"/>
          <w:color w:val="auto"/>
        </w:rPr>
      </w:pPr>
      <w:r>
        <w:rPr>
          <w:rFonts w:ascii="Arial" w:cs="Arial" w:eastAsia="Arial" w:hAnsi="Arial"/>
          <w:sz w:val="18"/>
          <w:szCs w:val="18"/>
          <w:color w:val="auto"/>
        </w:rPr>
        <w:t>The following table summarizes certain of our contractual obligations at December 31, 2019 and the effect such obligations are expected to have on our liquidity and cash flows in future periods:</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690"/>
              <w:spacing w:after="0"/>
              <w:rPr>
                <w:sz w:val="20"/>
                <w:szCs w:val="20"/>
                <w:color w:val="auto"/>
              </w:rPr>
            </w:pPr>
            <w:r>
              <w:rPr>
                <w:rFonts w:ascii="Arial" w:cs="Arial" w:eastAsia="Arial" w:hAnsi="Arial"/>
                <w:sz w:val="18"/>
                <w:szCs w:val="18"/>
                <w:color w:val="auto"/>
              </w:rPr>
              <w:t>Payment Due by Period</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Arial" w:cs="Arial" w:eastAsia="Arial" w:hAnsi="Arial"/>
                <w:sz w:val="16"/>
                <w:szCs w:val="16"/>
                <w:color w:val="auto"/>
                <w:w w:val="99"/>
              </w:rPr>
              <w:t>Less than 1</w:t>
            </w:r>
          </w:p>
        </w:tc>
        <w:tc>
          <w:tcPr>
            <w:tcW w:w="120" w:type="dxa"/>
            <w:vAlign w:val="bottom"/>
          </w:tcPr>
          <w:p>
            <w:pPr>
              <w:spacing w:after="0"/>
              <w:rPr>
                <w:sz w:val="12"/>
                <w:szCs w:val="12"/>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w w:val="92"/>
              </w:rPr>
              <w:t>2-3 Years</w:t>
            </w:r>
          </w:p>
        </w:tc>
        <w:tc>
          <w:tcPr>
            <w:tcW w:w="12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color w:val="auto"/>
                <w:w w:val="92"/>
              </w:rPr>
              <w:t>4-5 Years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w w:val="93"/>
              </w:rPr>
              <w:t>5+ Years</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00"/>
              <w:spacing w:after="0" w:line="202" w:lineRule="exact"/>
              <w:rPr>
                <w:sz w:val="20"/>
                <w:szCs w:val="20"/>
                <w:color w:val="auto"/>
              </w:rPr>
            </w:pPr>
            <w:r>
              <w:rPr>
                <w:rFonts w:ascii="Arial" w:cs="Arial" w:eastAsia="Arial" w:hAnsi="Arial"/>
                <w:sz w:val="18"/>
                <w:szCs w:val="18"/>
                <w:color w:val="auto"/>
                <w:w w:val="89"/>
              </w:rPr>
              <w:t>Year</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92"/>
              </w:rPr>
              <w:t>(in thousands)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8"/>
                <w:szCs w:val="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8"/>
                <w:szCs w:val="8"/>
                <w:color w:val="auto"/>
              </w:rPr>
              <w:t>(2)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66,714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41,026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Financing lease obligations </w:t>
            </w:r>
            <w:r>
              <w:rPr>
                <w:rFonts w:ascii="Arial" w:cs="Arial" w:eastAsia="Arial" w:hAnsi="Arial"/>
                <w:sz w:val="8"/>
                <w:szCs w:val="8"/>
                <w:color w:val="auto"/>
              </w:rPr>
              <w:t>(3)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Self-insurance </w:t>
            </w:r>
            <w:r>
              <w:rPr>
                <w:rFonts w:ascii="Arial" w:cs="Arial" w:eastAsia="Arial" w:hAnsi="Arial"/>
                <w:sz w:val="8"/>
                <w:szCs w:val="8"/>
                <w:color w:val="auto"/>
              </w:rPr>
              <w:t>(4)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contractual obligations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72,816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41,159</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right="80" w:hanging="424"/>
        <w:spacing w:after="0" w:line="209"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total interest of $9.5 million, comprised of $2.5 million of interest for the period of less than 1 year, $5.1 million of interest for the period of 1 – 3 years, $1.9 million of interest for the period of 4 – 5 years, and $0.0 million of interest for the period of 5+ years.</w:t>
      </w:r>
    </w:p>
    <w:p>
      <w:pPr>
        <w:spacing w:after="0" w:line="1" w:lineRule="exact"/>
        <w:rPr>
          <w:rFonts w:ascii="Arial" w:cs="Arial" w:eastAsia="Arial" w:hAnsi="Arial"/>
          <w:sz w:val="18"/>
          <w:szCs w:val="18"/>
          <w:color w:val="auto"/>
        </w:rPr>
      </w:pPr>
    </w:p>
    <w:p>
      <w:pPr>
        <w:ind w:left="424" w:hanging="424"/>
        <w:spacing w:after="0" w:line="203"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base or current renewal period for our operating leases.</w:t>
      </w:r>
    </w:p>
    <w:p>
      <w:pPr>
        <w:ind w:left="424" w:right="80" w:hanging="424"/>
        <w:spacing w:after="0" w:line="203"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total interest of $0.1 million, comprised of $0.1 million of interest for the period of less than 1 year, $0.0 million of interest for the period of 1 – 3 years, $0.0 million of interest for the period of 4 – 5 years, and $0.0 million of interest for the period of 5+ years.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Self-insurance includes our employee health and workers’ compensation insurance policies.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4" w:right="80"/>
        <w:spacing w:after="0" w:line="222" w:lineRule="auto"/>
        <w:rPr>
          <w:sz w:val="20"/>
          <w:szCs w:val="20"/>
          <w:color w:val="auto"/>
        </w:rPr>
      </w:pPr>
      <w:r>
        <w:rPr>
          <w:rFonts w:ascii="Arial" w:cs="Arial" w:eastAsia="Arial" w:hAnsi="Arial"/>
          <w:sz w:val="17"/>
          <w:szCs w:val="17"/>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included in this report.</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44" w:lineRule="exact"/>
        <w:rPr>
          <w:sz w:val="20"/>
          <w:szCs w:val="20"/>
          <w:color w:val="auto"/>
        </w:rPr>
      </w:pPr>
    </w:p>
    <w:p>
      <w:pPr>
        <w:ind w:left="4" w:right="20"/>
        <w:spacing w:after="0" w:line="235" w:lineRule="auto"/>
        <w:rPr>
          <w:sz w:val="20"/>
          <w:szCs w:val="20"/>
          <w:color w:val="auto"/>
        </w:rPr>
      </w:pPr>
      <w:r>
        <w:rPr>
          <w:rFonts w:ascii="Arial" w:cs="Arial" w:eastAsia="Arial" w:hAnsi="Arial"/>
          <w:sz w:val="16"/>
          <w:szCs w:val="16"/>
          <w:color w:val="auto"/>
        </w:rPr>
        <w:t>Revenues are recognized when control of promised goods or services is transferred to our customers, in an amount that reflects the consideration received in exchange for those goods or services.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Net sales are reduced by an allowance for anticipated sales returns that we estimate based on historical returns. Our process to establish a sales return reserve contains uncertainties because it requires management to make assumptions and to apply judgment to estimate future sales returns and exchanges. The customer may receive a refund or exchange the original product for a replacement of equal or similar quality for a period of three months from the time of original purchase. Products received back under this policy are reconditioned pursuant to state laws and resold. We believe our estimate for sales returns is an accurate reflection of future returns. Actual return trends have not varied significantly from estimated amounts in prior periods. However, if the nature of sales returns changes significantly, our sales could be adversely impacted.</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44" w:lineRule="exact"/>
        <w:rPr>
          <w:sz w:val="20"/>
          <w:szCs w:val="20"/>
          <w:color w:val="auto"/>
        </w:rPr>
      </w:pPr>
    </w:p>
    <w:p>
      <w:pPr>
        <w:ind w:left="4" w:right="160"/>
        <w:spacing w:after="0" w:line="237" w:lineRule="auto"/>
        <w:rPr>
          <w:sz w:val="20"/>
          <w:szCs w:val="20"/>
          <w:color w:val="auto"/>
        </w:rPr>
      </w:pPr>
      <w:r>
        <w:rPr>
          <w:rFonts w:ascii="Arial" w:cs="Arial" w:eastAsia="Arial" w:hAnsi="Arial"/>
          <w:sz w:val="16"/>
          <w:szCs w:val="16"/>
          <w:color w:val="auto"/>
        </w:rPr>
        <w:t>Our inventory consists of manufactured items and purchased merchandise held for resale. Inventories are stated at the lower of cost (determined using the weighted-average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 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We</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11" w:right="9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right="200"/>
        <w:spacing w:after="0" w:line="224" w:lineRule="auto"/>
        <w:rPr>
          <w:sz w:val="20"/>
          <w:szCs w:val="20"/>
          <w:color w:val="auto"/>
        </w:rPr>
      </w:pPr>
      <w:r>
        <w:rPr>
          <w:rFonts w:ascii="Arial" w:cs="Arial" w:eastAsia="Arial" w:hAnsi="Arial"/>
          <w:sz w:val="18"/>
          <w:szCs w:val="18"/>
          <w:color w:val="auto"/>
        </w:rPr>
        <w:t>do not believe there is a reasonable likelihood that there will be a material change in the assumptions we use to calculate our inventory provisions. However, if actual results are not consistent with our estimates and assumptions, we may be exposed to losses that could be material.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4"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Property, plant and equipment are carried at cost less accumulated depreciation, which is amortized over the useful life of the assets. Leasehold improvements are amortized over the shorter of their estimated useful lives or lease period (including expected renewal periods). 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An impairment loss is recognized when estimated undiscounted future cash flows from the operations and/or disposition of the assets are less than the carrying amount. Measurement of an impairment loss is based on the excess of the carrying amount of the asset group over its fair value. Fair value is measured using discounted cash flows or independent opinions of value, as appropriate.</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actual results are not consistent with our estimates and assumptions used in determining future cash flows and asset fair values, we may be exposed to losses that could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Deferred tax liabilities and assets are determined based on the difference between the financial statement basis and tax basis of assets and liabilities using enacted tax rates in effect for the year in which the differences are expected to reverse. We estimate the degree to which tax assets and loss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February 2016, the Financial Accounting Standards Board (the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25"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This standard provides a number of optional practical expedients in transition. We elected the package of three practical expedients permitted under the transition guidance within this standard, which among other things, allows us to carryforward the historical lease classification. We did not separate non-lease components from lease components by class of underlying assets and we did not apply the recognition requirements of the standard to short-term leases, as allowed by the standard.</w:t>
      </w:r>
    </w:p>
    <w:p>
      <w:pPr>
        <w:spacing w:after="0" w:line="122"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We also elected to apply the hindsight practical expedient. The election of the hindsight practical expedient resulted in the shortening of lease terms for certain existing leases and the useful lives of corresponding leasehold improvements. In the application of the hindsight practical expedient, we considered recent investments in leased properties and the overall real estate strategy, which resulted in the determination that most renewal options would not be reasonably certain in determining the expected lease term.</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Upon adopting this standard, we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 deferred tax assets and a corresponding adjustment to retained earnings. The adoption of this standard did not have a material impact on net income or cash flows for the year ended December 31, 2019. See Note 7 to our consolidated financial statements included in this report for further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In June 2016, the FASB issued a final standard on accounting for credit losses. The new standard was initially effective for us in fiscal 2020, and requires a change in credit loss calculations using the expected loss method. In November 2019, the FASB issued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 to fiscal years beginning after December 15, 2022, including interim periods within those years. Early adoption is permitted. We intend to early adopt the standard effective January 1, 2020. We have evaluated the effect of the new standard on our consolidated financial statements and related disclosures, and have determined the impact will be immaterial.</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us at the beginning of our fiscal year 2020. We have evaluated the effect of the standard on our consolidated financial statements and related disclosures, and have determined the impact will be immaterial.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and credit concentration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4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Inflationary factors such as increases in the cost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profit and selling, general and administrative expenses as a percentage of revenues if the selling prices of our products do not increase with these increased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under our revolving credit facility bear interest at either a base rate or a LIBOR-based rate, at our option.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The base rate was 6.00% at December 31, 2019. Based upon balances and interest rates as of December 31, 2019, holding other variables constant, a one percentage point increase in interest rates for the next 12-month period would decrease pre-tax earnings and cash flow by approximately $0.6 million. Conversely, a one percentage point decrease in interest rates for the next 12-month period would result in an increase to pre-tax earnings and cash flow of approximately $0.6 million.</w:t>
      </w:r>
    </w:p>
    <w:p>
      <w:pPr>
        <w:spacing w:after="0" w:line="121"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We currently do not engage in any interest rate hedging activity. We do not, and do not intend to, engage in the practice of trading derivative securities for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48"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48"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2019 and 2018. Our exposure to foreign currency rate fluctuations is not significant to our financial condition or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currently do not engage in any exchange rate hedging activity and currently have no intention to do so in the foreseeable future.</w:t>
      </w:r>
    </w:p>
    <w:p>
      <w:pPr>
        <w:spacing w:after="0"/>
        <w:rPr>
          <w:sz w:val="20"/>
          <w:szCs w:val="20"/>
          <w:color w:val="auto"/>
        </w:rPr>
      </w:pPr>
      <w:r>
        <w:rPr>
          <w:rFonts w:ascii="Arial" w:cs="Arial" w:eastAsia="Arial" w:hAnsi="Arial"/>
          <w:sz w:val="17"/>
          <w:szCs w:val="17"/>
          <w:color w:val="auto"/>
        </w:rPr>
        <w:t>However, in the future, in an effort to mitigate losses associated with these risks, we may at times engage in these transactions.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32" w:name="page33"/>
    <w:bookmarkEnd w:id="32"/>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left="4" w:right="280"/>
        <w:spacing w:after="0" w:line="224" w:lineRule="auto"/>
        <w:rPr>
          <w:sz w:val="20"/>
          <w:szCs w:val="20"/>
          <w:color w:val="auto"/>
        </w:rPr>
      </w:pPr>
      <w:r>
        <w:rPr>
          <w:rFonts w:ascii="Arial" w:cs="Arial" w:eastAsia="Arial" w:hAnsi="Arial"/>
          <w:sz w:val="18"/>
          <w:szCs w:val="18"/>
          <w:color w:val="auto"/>
        </w:rPr>
        <w:t>Our consolidated financial statements and the reports of our independent registered public accounting firm, as listed under Item 15, “Exhibits, Financial Statement Schedules,” are included as a separate section of this report beginning on page 35 and are incorporated herein by reference.</w:t>
      </w:r>
    </w:p>
    <w:p>
      <w:pPr>
        <w:spacing w:after="0" w:line="118" w:lineRule="exact"/>
        <w:rPr>
          <w:sz w:val="20"/>
          <w:szCs w:val="20"/>
          <w:color w:val="auto"/>
        </w:rPr>
      </w:pPr>
    </w:p>
    <w:p>
      <w:pPr>
        <w:ind w:left="4" w:right="940"/>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9A. CONTROLS AND PROCEDURES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44" w:lineRule="exact"/>
        <w:rPr>
          <w:sz w:val="20"/>
          <w:szCs w:val="20"/>
          <w:color w:val="auto"/>
        </w:rPr>
      </w:pPr>
    </w:p>
    <w:p>
      <w:pPr>
        <w:ind w:left="4" w:right="140"/>
        <w:spacing w:after="0" w:line="225"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December 31, 2019 and have concluded that our disclosure controls and procedures were not effective as of December 31, 2019 due to material weaknesses in our internal control over financial reporting as described below.</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44" w:lineRule="exact"/>
        <w:rPr>
          <w:sz w:val="20"/>
          <w:szCs w:val="20"/>
          <w:color w:val="auto"/>
        </w:rPr>
      </w:pPr>
    </w:p>
    <w:p>
      <w:pPr>
        <w:ind w:left="4"/>
        <w:spacing w:after="0" w:line="23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w:t>
      </w:r>
    </w:p>
    <w:p>
      <w:pPr>
        <w:spacing w:after="0" w:line="2" w:lineRule="exact"/>
        <w:rPr>
          <w:sz w:val="20"/>
          <w:szCs w:val="20"/>
          <w:color w:val="auto"/>
        </w:rPr>
      </w:pPr>
    </w:p>
    <w:p>
      <w:pPr>
        <w:ind w:left="4" w:hanging="4"/>
        <w:spacing w:after="0" w:line="220"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26" w:lineRule="exact"/>
        <w:rPr>
          <w:sz w:val="20"/>
          <w:szCs w:val="20"/>
          <w:color w:val="auto"/>
        </w:rPr>
      </w:pPr>
    </w:p>
    <w:p>
      <w:pPr>
        <w:ind w:left="4" w:right="20"/>
        <w:spacing w:after="0" w:line="214" w:lineRule="auto"/>
        <w:rPr>
          <w:sz w:val="20"/>
          <w:szCs w:val="20"/>
          <w:color w:val="auto"/>
        </w:rPr>
      </w:pPr>
      <w:r>
        <w:rPr>
          <w:rFonts w:ascii="Arial" w:cs="Arial" w:eastAsia="Arial" w:hAnsi="Arial"/>
          <w:sz w:val="18"/>
          <w:szCs w:val="18"/>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2019. Management’s assessment was based on criteria set forth by the Committee of Sponsoring Organizations of the Treadway Commission in Internal Control - Integrated Framework (2013 Framework) (“COSO”). Based on management’s assessment, management has concluded that our internal control over financial reporting was not effective as of December 31, 2019 due to the material weakness in our internal control over financial reporting, as follows.</w:t>
      </w:r>
    </w:p>
    <w:p>
      <w:pPr>
        <w:spacing w:after="0" w:line="121" w:lineRule="exact"/>
        <w:rPr>
          <w:sz w:val="20"/>
          <w:szCs w:val="20"/>
          <w:color w:val="auto"/>
        </w:rPr>
      </w:pPr>
    </w:p>
    <w:p>
      <w:pPr>
        <w:ind w:left="4" w:right="80"/>
        <w:spacing w:after="0" w:line="224" w:lineRule="auto"/>
        <w:rPr>
          <w:sz w:val="20"/>
          <w:szCs w:val="20"/>
          <w:color w:val="auto"/>
        </w:rPr>
      </w:pPr>
      <w:r>
        <w:rPr>
          <w:rFonts w:ascii="Arial" w:cs="Arial" w:eastAsia="Arial" w:hAnsi="Arial"/>
          <w:sz w:val="18"/>
          <w:szCs w:val="18"/>
          <w:color w:val="auto"/>
        </w:rPr>
        <w:t>On January 1, 2019, we implemented a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22" w:lineRule="exact"/>
        <w:rPr>
          <w:sz w:val="20"/>
          <w:szCs w:val="20"/>
          <w:color w:val="auto"/>
        </w:rPr>
      </w:pPr>
    </w:p>
    <w:p>
      <w:pPr>
        <w:ind w:left="644" w:right="20" w:hanging="320"/>
        <w:spacing w:after="0" w:line="189" w:lineRule="auto"/>
        <w:tabs>
          <w:tab w:leader="none" w:pos="644"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2" w:lineRule="exact"/>
        <w:rPr>
          <w:rFonts w:ascii="Arial" w:cs="Arial" w:eastAsia="Arial" w:hAnsi="Arial"/>
          <w:sz w:val="28"/>
          <w:szCs w:val="28"/>
          <w:color w:val="auto"/>
          <w:vertAlign w:val="superscript"/>
        </w:rPr>
      </w:pPr>
    </w:p>
    <w:p>
      <w:pPr>
        <w:ind w:left="644" w:right="220" w:hanging="320"/>
        <w:spacing w:after="0" w:line="208" w:lineRule="auto"/>
        <w:tabs>
          <w:tab w:leader="none" w:pos="644"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w:t>
      </w:r>
    </w:p>
    <w:p>
      <w:pPr>
        <w:spacing w:after="0" w:line="165" w:lineRule="exact"/>
        <w:rPr>
          <w:sz w:val="20"/>
          <w:szCs w:val="20"/>
          <w:color w:val="auto"/>
        </w:rPr>
      </w:pPr>
    </w:p>
    <w:p>
      <w:pPr>
        <w:ind w:left="520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4"/>
          </w:cols>
          <w:pgMar w:left="976" w:top="111"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640" w:right="680"/>
        <w:spacing w:after="0" w:line="235" w:lineRule="auto"/>
        <w:rPr>
          <w:sz w:val="20"/>
          <w:szCs w:val="20"/>
          <w:color w:val="auto"/>
        </w:rPr>
      </w:pPr>
      <w:r>
        <w:rPr>
          <w:rFonts w:ascii="Arial" w:cs="Arial" w:eastAsia="Arial" w:hAnsi="Arial"/>
          <w:sz w:val="18"/>
          <w:szCs w:val="18"/>
          <w:color w:val="auto"/>
        </w:rPr>
        <w:t>business process controls (automated and manual) are dependent on the affected ITGCs and, therefore, are also deemed ineffective because they are adversely impacted by the ineffective ITGCs.</w:t>
      </w:r>
    </w:p>
    <w:p>
      <w:pPr>
        <w:spacing w:after="0" w:line="121" w:lineRule="exact"/>
        <w:rPr>
          <w:sz w:val="20"/>
          <w:szCs w:val="20"/>
          <w:color w:val="auto"/>
        </w:rPr>
      </w:pPr>
    </w:p>
    <w:p>
      <w:pPr>
        <w:ind w:right="460"/>
        <w:spacing w:after="0" w:line="224" w:lineRule="auto"/>
        <w:rPr>
          <w:sz w:val="20"/>
          <w:szCs w:val="20"/>
          <w:color w:val="auto"/>
        </w:rPr>
      </w:pPr>
      <w:r>
        <w:rPr>
          <w:rFonts w:ascii="Arial" w:cs="Arial" w:eastAsia="Arial" w:hAnsi="Arial"/>
          <w:sz w:val="18"/>
          <w:szCs w:val="18"/>
          <w:color w:val="auto"/>
        </w:rPr>
        <w:t>Ernst &amp; Young, LLP, our independent registered public accounting firm, has issued an adverse report on our internal control over financial reporting as of December 31, 2019. See “Report of Independent Registered Public Accounting Firm – Opinion on Internal Control over Financial Reporting” of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Remediation of Material Weaknesses</w:t>
      </w:r>
    </w:p>
    <w:p>
      <w:pPr>
        <w:spacing w:after="0" w:line="14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As previously disclosed, we voluntarily delisted our common stock from Nasdaq in November 2019 and intend to deregister our common stock under the Exchange Act. Upon the effectiveness of the deregistration with the SEC, our obligations of associated with being an Exchange Act-registered company, including the requirement to file current and periodic reports, will terminate.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There were no changes in internal control over financial reporting (as defined by Rules 13a-15(f) and 15d-15(f) under the Exchange Act) during the quarter ended December 31, 2019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 effective control system, misstatements due to error or fraud may occur and not be detected.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information required by Part III is incorporated by reference from our definitive Proxy Statement for the Annual Meeting of Shareholders, or an amendment to this Form 10-K, which we intend to file with the SEC within 120 days after the fiscal year end covered by this report. Except for those portions specifically incorporated in this Form 10-K by reference to the Proxy Statement, no other portions of the Proxy Statement are deemed to be filed as part of this Form 10-K.</w:t>
      </w:r>
    </w:p>
    <w:p>
      <w:pPr>
        <w:spacing w:after="0" w:line="129" w:lineRule="exact"/>
        <w:rPr>
          <w:sz w:val="20"/>
          <w:szCs w:val="20"/>
          <w:color w:val="auto"/>
        </w:rPr>
      </w:pPr>
    </w:p>
    <w:p>
      <w:pPr>
        <w:ind w:right="2960"/>
        <w:spacing w:after="0" w:line="454" w:lineRule="auto"/>
        <w:rPr>
          <w:sz w:val="20"/>
          <w:szCs w:val="20"/>
          <w:color w:val="auto"/>
        </w:rPr>
      </w:pPr>
      <w:r>
        <w:rPr>
          <w:rFonts w:ascii="Arial" w:cs="Arial" w:eastAsia="Arial" w:hAnsi="Arial"/>
          <w:sz w:val="18"/>
          <w:szCs w:val="18"/>
          <w:b w:val="1"/>
          <w:bCs w:val="1"/>
          <w:color w:val="auto"/>
        </w:rPr>
        <w:t xml:space="preserve">ITEM 10. DIRECTORS, EXECUTIVE OFFICERS AND CORPORATE GOVERNANCE </w:t>
      </w:r>
      <w:r>
        <w:rPr>
          <w:rFonts w:ascii="Arial" w:cs="Arial" w:eastAsia="Arial" w:hAnsi="Arial"/>
          <w:sz w:val="18"/>
          <w:szCs w:val="18"/>
          <w:color w:val="auto"/>
        </w:rPr>
        <w:t>The following sections of the Proxy Statement are incorporated herein by reference:</w:t>
      </w:r>
    </w:p>
    <w:p>
      <w:pPr>
        <w:spacing w:after="0" w:line="98"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31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about our Executive Officers</w:t>
      </w:r>
    </w:p>
    <w:p>
      <w:pPr>
        <w:spacing w:after="0" w:line="333"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Relationships and Related Transactions</w:t>
      </w:r>
    </w:p>
    <w:p>
      <w:pPr>
        <w:spacing w:after="0" w:line="333"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Delinquent Section 16(a) Reports</w:t>
      </w:r>
    </w:p>
    <w:p>
      <w:pPr>
        <w:spacing w:after="0" w:line="15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adopted a Code of Business Conduct and Ethics that applies to all of our officers, directors and employees. The Code of Business Conduct and Ethics is available on the “Investor Relations” section of our website, at http://investors.tileshop.com, under the “Corporate Governance—Governance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 within four business days following the date of the amendment or waiver.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of the Proxy Statement are incorporated herein by reference:</w:t>
      </w:r>
    </w:p>
    <w:p>
      <w:pPr>
        <w:spacing w:after="0" w:line="306" w:lineRule="exact"/>
        <w:rPr>
          <w:sz w:val="20"/>
          <w:szCs w:val="20"/>
          <w:color w:val="auto"/>
        </w:rPr>
      </w:pPr>
    </w:p>
    <w:p>
      <w:pPr>
        <w:ind w:left="680" w:hanging="333"/>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319" w:lineRule="exact"/>
        <w:rPr>
          <w:rFonts w:ascii="Arial" w:cs="Arial" w:eastAsia="Arial" w:hAnsi="Arial"/>
          <w:sz w:val="18"/>
          <w:szCs w:val="18"/>
          <w:color w:val="auto"/>
        </w:rPr>
      </w:pPr>
    </w:p>
    <w:p>
      <w:pPr>
        <w:ind w:left="680" w:hanging="333"/>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333" w:lineRule="exact"/>
        <w:rPr>
          <w:rFonts w:ascii="Arial" w:cs="Arial" w:eastAsia="Arial" w:hAnsi="Arial"/>
          <w:sz w:val="18"/>
          <w:szCs w:val="18"/>
          <w:color w:val="auto"/>
        </w:rPr>
      </w:pPr>
    </w:p>
    <w:p>
      <w:pPr>
        <w:ind w:left="680" w:right="200" w:hanging="333"/>
        <w:spacing w:after="0" w:line="23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 1 – Election of Directors – Committees of the Board of Directors – Compensation Committee Interlocks and Insider Participation</w:t>
      </w:r>
    </w:p>
    <w:p>
      <w:pPr>
        <w:spacing w:after="0" w:line="310" w:lineRule="exact"/>
        <w:rPr>
          <w:rFonts w:ascii="Arial" w:cs="Arial" w:eastAsia="Arial" w:hAnsi="Arial"/>
          <w:sz w:val="18"/>
          <w:szCs w:val="18"/>
          <w:color w:val="auto"/>
        </w:rPr>
      </w:pPr>
    </w:p>
    <w:p>
      <w:pPr>
        <w:ind w:left="680" w:hanging="333"/>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Ratio</w:t>
      </w:r>
    </w:p>
    <w:p>
      <w:pPr>
        <w:spacing w:after="0" w:line="319" w:lineRule="exact"/>
        <w:rPr>
          <w:rFonts w:ascii="Arial" w:cs="Arial" w:eastAsia="Arial" w:hAnsi="Arial"/>
          <w:sz w:val="18"/>
          <w:szCs w:val="18"/>
          <w:color w:val="auto"/>
        </w:rPr>
      </w:pPr>
    </w:p>
    <w:p>
      <w:pPr>
        <w:ind w:left="680" w:right="220" w:hanging="333"/>
        <w:spacing w:after="0" w:line="23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Proposal 1 – Election of Directors – Information Regarding the Board of Directors and Corporate Governance – Oversight of Risk Management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35" w:name="page36"/>
    <w:bookmarkEnd w:id="3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720"/>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section of the Proxy Statement is incorporated herein by reference:</w:t>
      </w:r>
    </w:p>
    <w:p>
      <w:pPr>
        <w:spacing w:after="0" w:line="306" w:lineRule="exact"/>
        <w:rPr>
          <w:sz w:val="20"/>
          <w:szCs w:val="20"/>
          <w:color w:val="auto"/>
        </w:rPr>
      </w:pPr>
    </w:p>
    <w:p>
      <w:pPr>
        <w:ind w:left="684"/>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154" w:lineRule="exact"/>
        <w:rPr>
          <w:sz w:val="20"/>
          <w:szCs w:val="20"/>
          <w:color w:val="auto"/>
        </w:rPr>
      </w:pPr>
    </w:p>
    <w:p>
      <w:pPr>
        <w:ind w:left="2904"/>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presents our equity compensation plan information as of December 31, 2019:</w:t>
      </w:r>
    </w:p>
    <w:p>
      <w:pPr>
        <w:sectPr>
          <w:pgSz w:w="11900" w:h="16838" w:orient="portrait"/>
          <w:cols w:equalWidth="0" w:num="1">
            <w:col w:w="9944"/>
          </w:cols>
          <w:pgMar w:left="976" w:top="111"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
        <w:spacing w:after="0" w:line="224" w:lineRule="auto"/>
        <w:rPr>
          <w:sz w:val="20"/>
          <w:szCs w:val="20"/>
          <w:color w:val="auto"/>
        </w:rPr>
      </w:pPr>
      <w:r>
        <w:rPr>
          <w:rFonts w:ascii="Arial" w:cs="Arial" w:eastAsia="Arial" w:hAnsi="Arial"/>
          <w:sz w:val="18"/>
          <w:szCs w:val="18"/>
          <w:color w:val="auto"/>
        </w:rPr>
        <w:t>Equity compensation plans approved by stockholders Equity compensation plans not approved by stockholders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jc w:val="center"/>
              <w:ind w:right="195"/>
              <w:spacing w:after="0"/>
              <w:rPr>
                <w:sz w:val="20"/>
                <w:szCs w:val="20"/>
                <w:color w:val="auto"/>
              </w:rPr>
            </w:pPr>
            <w:r>
              <w:rPr>
                <w:rFonts w:ascii="Arial" w:cs="Arial" w:eastAsia="Arial" w:hAnsi="Arial"/>
                <w:sz w:val="18"/>
                <w:szCs w:val="18"/>
                <w:color w:val="auto"/>
                <w:w w:val="90"/>
              </w:rPr>
              <w:t>(a)</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(b)</w:t>
            </w:r>
          </w:p>
        </w:tc>
        <w:tc>
          <w:tcPr>
            <w:tcW w:w="218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5"/>
        </w:trPr>
        <w:tc>
          <w:tcPr>
            <w:tcW w:w="1920" w:type="dxa"/>
            <w:vAlign w:val="bottom"/>
            <w:gridSpan w:val="2"/>
            <w:vMerge w:val="restart"/>
          </w:tcPr>
          <w:p>
            <w:pPr>
              <w:jc w:val="center"/>
              <w:ind w:right="215"/>
              <w:spacing w:after="0"/>
              <w:rPr>
                <w:sz w:val="20"/>
                <w:szCs w:val="20"/>
                <w:color w:val="auto"/>
              </w:rPr>
            </w:pPr>
            <w:r>
              <w:rPr>
                <w:rFonts w:ascii="Arial" w:cs="Arial" w:eastAsia="Arial" w:hAnsi="Arial"/>
                <w:sz w:val="18"/>
                <w:szCs w:val="18"/>
                <w:color w:val="auto"/>
                <w:w w:val="90"/>
              </w:rPr>
              <w:t>Number of securities</w:t>
            </w:r>
          </w:p>
        </w:tc>
        <w:tc>
          <w:tcPr>
            <w:tcW w:w="16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Weighted-average</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176"/>
        </w:trPr>
        <w:tc>
          <w:tcPr>
            <w:tcW w:w="192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5"/>
        </w:trPr>
        <w:tc>
          <w:tcPr>
            <w:tcW w:w="1920" w:type="dxa"/>
            <w:vAlign w:val="bottom"/>
            <w:gridSpan w:val="2"/>
          </w:tcPr>
          <w:p>
            <w:pPr>
              <w:jc w:val="center"/>
              <w:ind w:right="215"/>
              <w:spacing w:after="0" w:line="176" w:lineRule="exact"/>
              <w:rPr>
                <w:sz w:val="20"/>
                <w:szCs w:val="20"/>
                <w:color w:val="auto"/>
              </w:rPr>
            </w:pPr>
            <w:r>
              <w:rPr>
                <w:rFonts w:ascii="Arial" w:cs="Arial" w:eastAsia="Arial" w:hAnsi="Arial"/>
                <w:sz w:val="18"/>
                <w:szCs w:val="18"/>
                <w:color w:val="auto"/>
                <w:w w:val="88"/>
              </w:rPr>
              <w:t>to be issued upon</w:t>
            </w: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1"/>
              </w:rPr>
              <w:t>exercise price of</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1920" w:type="dxa"/>
            <w:vAlign w:val="bottom"/>
            <w:gridSpan w:val="2"/>
          </w:tcPr>
          <w:p>
            <w:pPr>
              <w:jc w:val="right"/>
              <w:ind w:right="675"/>
              <w:spacing w:after="0" w:line="176" w:lineRule="exact"/>
              <w:rPr>
                <w:sz w:val="20"/>
                <w:szCs w:val="20"/>
                <w:color w:val="auto"/>
              </w:rPr>
            </w:pPr>
            <w:r>
              <w:rPr>
                <w:rFonts w:ascii="Arial" w:cs="Arial" w:eastAsia="Arial" w:hAnsi="Arial"/>
                <w:sz w:val="18"/>
                <w:szCs w:val="18"/>
                <w:color w:val="auto"/>
              </w:rPr>
              <w:t>exercise of</w:t>
            </w: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outstanding</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5"/>
        </w:trPr>
        <w:tc>
          <w:tcPr>
            <w:tcW w:w="1920" w:type="dxa"/>
            <w:vAlign w:val="bottom"/>
            <w:gridSpan w:val="2"/>
          </w:tcPr>
          <w:p>
            <w:pPr>
              <w:jc w:val="center"/>
              <w:ind w:right="215"/>
              <w:spacing w:after="0" w:line="176" w:lineRule="exact"/>
              <w:rPr>
                <w:sz w:val="20"/>
                <w:szCs w:val="20"/>
                <w:color w:val="auto"/>
              </w:rPr>
            </w:pPr>
            <w:r>
              <w:rPr>
                <w:rFonts w:ascii="Arial" w:cs="Arial" w:eastAsia="Arial" w:hAnsi="Arial"/>
                <w:sz w:val="18"/>
                <w:szCs w:val="18"/>
                <w:color w:val="auto"/>
                <w:w w:val="90"/>
              </w:rPr>
              <w:t>outstanding options,</w:t>
            </w: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options, warrants</w:t>
            </w: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 reflected</w:t>
            </w:r>
          </w:p>
        </w:tc>
        <w:tc>
          <w:tcPr>
            <w:tcW w:w="0" w:type="dxa"/>
            <w:vAlign w:val="bottom"/>
          </w:tcPr>
          <w:p>
            <w:pPr>
              <w:spacing w:after="0"/>
              <w:rPr>
                <w:sz w:val="1"/>
                <w:szCs w:val="1"/>
                <w:color w:val="auto"/>
              </w:rPr>
            </w:pPr>
          </w:p>
        </w:tc>
      </w:tr>
      <w:tr>
        <w:trPr>
          <w:trHeight w:val="182"/>
        </w:trPr>
        <w:tc>
          <w:tcPr>
            <w:tcW w:w="1920" w:type="dxa"/>
            <w:vAlign w:val="bottom"/>
            <w:gridSpan w:val="2"/>
          </w:tcPr>
          <w:p>
            <w:pPr>
              <w:jc w:val="center"/>
              <w:ind w:right="215"/>
              <w:spacing w:after="0" w:line="182" w:lineRule="exact"/>
              <w:rPr>
                <w:sz w:val="20"/>
                <w:szCs w:val="20"/>
                <w:color w:val="auto"/>
              </w:rPr>
            </w:pPr>
            <w:r>
              <w:rPr>
                <w:rFonts w:ascii="Arial" w:cs="Arial" w:eastAsia="Arial" w:hAnsi="Arial"/>
                <w:sz w:val="18"/>
                <w:szCs w:val="18"/>
                <w:color w:val="auto"/>
                <w:w w:val="90"/>
              </w:rPr>
              <w:t>warrants and rights</w:t>
            </w:r>
          </w:p>
        </w:tc>
        <w:tc>
          <w:tcPr>
            <w:tcW w:w="168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0"/>
              </w:rPr>
              <w:t>and rights ($)</w:t>
            </w:r>
          </w:p>
        </w:tc>
        <w:tc>
          <w:tcPr>
            <w:tcW w:w="2180" w:type="dxa"/>
            <w:vAlign w:val="bottom"/>
          </w:tcPr>
          <w:p>
            <w:pPr>
              <w:jc w:val="center"/>
              <w:spacing w:after="0" w:line="182" w:lineRule="exact"/>
              <w:rPr>
                <w:sz w:val="20"/>
                <w:szCs w:val="20"/>
                <w:color w:val="auto"/>
              </w:rPr>
            </w:pPr>
            <w:r>
              <w:rPr>
                <w:rFonts w:ascii="Arial" w:cs="Arial" w:eastAsia="Arial" w:hAnsi="Arial"/>
                <w:sz w:val="18"/>
                <w:szCs w:val="18"/>
                <w:color w:val="auto"/>
                <w:w w:val="92"/>
              </w:rPr>
              <w:t>in column (a))</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95"/>
              <w:spacing w:after="0"/>
              <w:rPr>
                <w:sz w:val="20"/>
                <w:szCs w:val="20"/>
                <w:color w:val="auto"/>
              </w:rPr>
            </w:pPr>
            <w:r>
              <w:rPr>
                <w:rFonts w:ascii="Arial" w:cs="Arial" w:eastAsia="Arial" w:hAnsi="Arial"/>
                <w:sz w:val="9"/>
                <w:szCs w:val="9"/>
                <w:color w:val="auto"/>
                <w:w w:val="90"/>
              </w:rPr>
              <w:t>(1)</w:t>
            </w: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660" w:type="dxa"/>
            <w:vAlign w:val="bottom"/>
          </w:tcPr>
          <w:p>
            <w:pPr>
              <w:jc w:val="right"/>
              <w:spacing w:after="0"/>
              <w:rPr>
                <w:sz w:val="20"/>
                <w:szCs w:val="20"/>
                <w:color w:val="auto"/>
              </w:rPr>
            </w:pPr>
            <w:r>
              <w:rPr>
                <w:rFonts w:ascii="Arial" w:cs="Arial" w:eastAsia="Arial" w:hAnsi="Arial"/>
                <w:sz w:val="18"/>
                <w:szCs w:val="18"/>
                <w:color w:val="auto"/>
              </w:rPr>
              <w:t>1,253,994</w:t>
            </w:r>
          </w:p>
        </w:tc>
        <w:tc>
          <w:tcPr>
            <w:tcW w:w="260" w:type="dxa"/>
            <w:vAlign w:val="bottom"/>
            <w:vMerge w:val="continue"/>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1,461,784</w:t>
            </w:r>
          </w:p>
        </w:tc>
        <w:tc>
          <w:tcPr>
            <w:tcW w:w="0" w:type="dxa"/>
            <w:vAlign w:val="bottom"/>
          </w:tcPr>
          <w:p>
            <w:pPr>
              <w:spacing w:after="0"/>
              <w:rPr>
                <w:sz w:val="1"/>
                <w:szCs w:val="1"/>
                <w:color w:val="auto"/>
              </w:rPr>
            </w:pPr>
          </w:p>
        </w:tc>
      </w:tr>
      <w:tr>
        <w:trPr>
          <w:trHeight w:val="337"/>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660" w:type="dxa"/>
            <w:vAlign w:val="bottom"/>
          </w:tcPr>
          <w:p>
            <w:pPr>
              <w:jc w:val="right"/>
              <w:spacing w:after="0"/>
              <w:rPr>
                <w:sz w:val="20"/>
                <w:szCs w:val="20"/>
                <w:color w:val="auto"/>
              </w:rPr>
            </w:pPr>
            <w:r>
              <w:rPr>
                <w:rFonts w:ascii="Arial" w:cs="Arial" w:eastAsia="Arial" w:hAnsi="Arial"/>
                <w:sz w:val="18"/>
                <w:szCs w:val="18"/>
                <w:color w:val="auto"/>
              </w:rPr>
              <w:t>1,253,994</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11.34</w:t>
            </w:r>
          </w:p>
        </w:tc>
        <w:tc>
          <w:tcPr>
            <w:tcW w:w="1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1,461,784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-522605</wp:posOffset>
            </wp:positionV>
            <wp:extent cx="63093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9360" cy="146050"/>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-154305</wp:posOffset>
            </wp:positionV>
            <wp:extent cx="630936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9360" cy="14541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844" w:space="320"/>
            <w:col w:w="5780"/>
          </w:cols>
          <w:pgMar w:left="976" w:top="111" w:right="979" w:bottom="1440" w:gutter="0" w:footer="0" w:header="0"/>
          <w:type w:val="continuous"/>
        </w:sectPr>
      </w:pPr>
    </w:p>
    <w:p>
      <w:pPr>
        <w:ind w:left="644" w:right="400" w:hanging="644"/>
        <w:spacing w:after="0" w:line="235" w:lineRule="auto"/>
        <w:tabs>
          <w:tab w:leader="none" w:pos="713" w:val="left"/>
        </w:tabs>
        <w:numPr>
          <w:ilvl w:val="0"/>
          <w:numId w:val="23"/>
        </w:numPr>
        <w:rPr>
          <w:rFonts w:ascii="Arial" w:cs="Arial" w:eastAsia="Arial" w:hAnsi="Arial"/>
          <w:sz w:val="9"/>
          <w:szCs w:val="9"/>
          <w:color w:val="auto"/>
        </w:rPr>
      </w:pPr>
      <w:r>
        <w:rPr>
          <w:rFonts w:ascii="Arial" w:cs="Arial" w:eastAsia="Arial" w:hAnsi="Arial"/>
          <w:sz w:val="18"/>
          <w:szCs w:val="18"/>
          <w:color w:val="auto"/>
        </w:rPr>
        <w:t>Represents shares of common stock to be issued upon exercise of currently outstanding options to purchase common stock granted pursuant to our 2012 Plan.</w:t>
      </w:r>
    </w:p>
    <w:p>
      <w:pPr>
        <w:spacing w:after="0" w:line="117" w:lineRule="exact"/>
        <w:rPr>
          <w:sz w:val="20"/>
          <w:szCs w:val="20"/>
          <w:color w:val="auto"/>
        </w:rPr>
      </w:pPr>
    </w:p>
    <w:p>
      <w:pPr>
        <w:ind w:left="4" w:right="1040"/>
        <w:spacing w:after="0" w:line="454"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The following sections of the Proxy Statement are incorporated herein by reference:</w:t>
      </w:r>
    </w:p>
    <w:p>
      <w:pPr>
        <w:spacing w:after="0" w:line="85" w:lineRule="exact"/>
        <w:rPr>
          <w:sz w:val="20"/>
          <w:szCs w:val="20"/>
          <w:color w:val="auto"/>
        </w:rPr>
      </w:pPr>
    </w:p>
    <w:p>
      <w:pPr>
        <w:ind w:left="384" w:right="160" w:firstLine="288"/>
        <w:spacing w:after="0" w:line="235" w:lineRule="auto"/>
        <w:rPr>
          <w:sz w:val="20"/>
          <w:szCs w:val="20"/>
          <w:color w:val="auto"/>
        </w:rPr>
      </w:pPr>
      <w:r>
        <w:rPr>
          <w:rFonts w:ascii="Arial" w:cs="Arial" w:eastAsia="Arial" w:hAnsi="Arial"/>
          <w:sz w:val="18"/>
          <w:szCs w:val="18"/>
          <w:color w:val="auto"/>
        </w:rPr>
        <w:t>Proposal 1 – Election of Directors – Information Regarding the Board of Directors and Corporate Governance – Independence of the Board of Directors</w:t>
      </w:r>
    </w:p>
    <w:p>
      <w:pPr>
        <w:spacing w:after="0" w:line="40" w:lineRule="exact"/>
        <w:rPr>
          <w:sz w:val="20"/>
          <w:szCs w:val="20"/>
          <w:color w:val="auto"/>
        </w:rPr>
      </w:pPr>
    </w:p>
    <w:p>
      <w:pPr>
        <w:ind w:left="684"/>
        <w:spacing w:after="0"/>
        <w:rPr>
          <w:sz w:val="20"/>
          <w:szCs w:val="20"/>
          <w:color w:val="auto"/>
        </w:rPr>
      </w:pPr>
      <w:r>
        <w:rPr>
          <w:rFonts w:ascii="Arial" w:cs="Arial" w:eastAsia="Arial" w:hAnsi="Arial"/>
          <w:sz w:val="18"/>
          <w:szCs w:val="18"/>
          <w:color w:val="auto"/>
        </w:rPr>
        <w:t>Certain Relationships and Related Transactions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section of the Proxy Statement is incorporated herein by reference:</w:t>
      </w:r>
    </w:p>
    <w:p>
      <w:pPr>
        <w:spacing w:after="0" w:line="306" w:lineRule="exact"/>
        <w:rPr>
          <w:sz w:val="20"/>
          <w:szCs w:val="20"/>
          <w:color w:val="auto"/>
        </w:rPr>
      </w:pPr>
    </w:p>
    <w:p>
      <w:pPr>
        <w:ind w:left="684"/>
        <w:spacing w:after="0"/>
        <w:rPr>
          <w:sz w:val="20"/>
          <w:szCs w:val="20"/>
          <w:color w:val="auto"/>
        </w:rPr>
      </w:pPr>
      <w:r>
        <w:rPr>
          <w:rFonts w:ascii="Arial" w:cs="Arial" w:eastAsia="Arial" w:hAnsi="Arial"/>
          <w:sz w:val="18"/>
          <w:szCs w:val="18"/>
          <w:color w:val="auto"/>
        </w:rPr>
        <w:t>Proposal 2 – Ratification of Appointment of Independent Registered Public Accounting Firm</w:t>
      </w:r>
    </w:p>
    <w:p>
      <w:pPr>
        <w:spacing w:after="0" w:line="360"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11" w:right="979" w:bottom="1440" w:gutter="0" w:footer="0" w:header="0"/>
          <w:type w:val="continuous"/>
        </w:sectPr>
      </w:pPr>
    </w:p>
    <w:bookmarkStart w:id="36" w:name="page37"/>
    <w:bookmarkEnd w:id="3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4"/>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4" w:lineRule="exact"/>
        <w:rPr>
          <w:sz w:val="20"/>
          <w:szCs w:val="20"/>
          <w:color w:val="auto"/>
        </w:rPr>
      </w:pPr>
    </w:p>
    <w:p>
      <w:pPr>
        <w:ind w:left="524" w:hanging="524"/>
        <w:spacing w:after="0"/>
        <w:tabs>
          <w:tab w:leader="none" w:pos="5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w:t>
      </w:r>
    </w:p>
    <w:p>
      <w:pPr>
        <w:spacing w:after="0" w:line="144" w:lineRule="exact"/>
        <w:rPr>
          <w:sz w:val="20"/>
          <w:szCs w:val="20"/>
          <w:color w:val="auto"/>
        </w:rPr>
      </w:pPr>
    </w:p>
    <w:p>
      <w:pPr>
        <w:ind w:left="444" w:hanging="444"/>
        <w:spacing w:after="0"/>
        <w:tabs>
          <w:tab w:leader="none" w:pos="44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consolidated financial statements of the Company and its subsidiaries are filed as part of this Form 10-K:</w:t>
      </w:r>
    </w:p>
    <w:p>
      <w:pPr>
        <w:spacing w:after="0" w:line="200" w:lineRule="exact"/>
        <w:rPr>
          <w:sz w:val="20"/>
          <w:szCs w:val="20"/>
          <w:color w:val="auto"/>
        </w:rPr>
      </w:pPr>
    </w:p>
    <w:p>
      <w:pPr>
        <w:spacing w:after="0" w:line="22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8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w:t>
            </w:r>
          </w:p>
        </w:tc>
        <w:tc>
          <w:tcPr>
            <w:tcW w:w="8760" w:type="dxa"/>
            <w:vAlign w:val="bottom"/>
            <w:gridSpan w:val="8"/>
            <w:shd w:val="clear" w:color="auto" w:fill="CCEEFF"/>
          </w:tcPr>
          <w:p>
            <w:pPr>
              <w:spacing w:after="0" w:line="196" w:lineRule="exact"/>
              <w:rPr>
                <w:rFonts w:ascii="Arial" w:cs="Arial" w:eastAsia="Arial" w:hAnsi="Arial"/>
                <w:sz w:val="18"/>
                <w:szCs w:val="18"/>
                <w:color w:val="auto"/>
              </w:rPr>
            </w:pPr>
            <w:hyperlink w:anchor="page38">
              <w:r>
                <w:rPr>
                  <w:rFonts w:ascii="Arial" w:cs="Arial" w:eastAsia="Arial" w:hAnsi="Arial"/>
                  <w:sz w:val="18"/>
                  <w:szCs w:val="18"/>
                  <w:color w:val="auto"/>
                </w:rPr>
                <w:t>Reports of Independent Registered Public Accounting Firm</w:t>
              </w:r>
            </w:hyperlink>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80" w:type="dxa"/>
            <w:vAlign w:val="bottom"/>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(ii)</w:t>
            </w:r>
          </w:p>
        </w:tc>
        <w:tc>
          <w:tcPr>
            <w:tcW w:w="5680" w:type="dxa"/>
            <w:vAlign w:val="bottom"/>
            <w:tcBorders>
              <w:bottom w:val="single" w:sz="8" w:color="auto"/>
            </w:tcBorders>
            <w:gridSpan w:val="3"/>
          </w:tcPr>
          <w:p>
            <w:pPr>
              <w:spacing w:after="0" w:line="196" w:lineRule="exact"/>
              <w:rPr>
                <w:rFonts w:ascii="Arial" w:cs="Arial" w:eastAsia="Arial" w:hAnsi="Arial"/>
                <w:sz w:val="18"/>
                <w:szCs w:val="18"/>
                <w:color w:val="auto"/>
                <w:w w:val="88"/>
              </w:rPr>
            </w:pPr>
            <w:hyperlink w:anchor="page41">
              <w:r>
                <w:rPr>
                  <w:rFonts w:ascii="Arial" w:cs="Arial" w:eastAsia="Arial" w:hAnsi="Arial"/>
                  <w:sz w:val="18"/>
                  <w:szCs w:val="18"/>
                  <w:color w:val="auto"/>
                  <w:w w:val="88"/>
                </w:rPr>
                <w:t>Consolidated Balance Sheets for the years ended December 31, 2019 and 2018</w:t>
              </w:r>
            </w:hyperlink>
          </w:p>
        </w:tc>
        <w:tc>
          <w:tcPr>
            <w:tcW w:w="308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(iii)</w:t>
            </w:r>
          </w:p>
        </w:tc>
        <w:tc>
          <w:tcPr>
            <w:tcW w:w="6900" w:type="dxa"/>
            <w:vAlign w:val="bottom"/>
            <w:tcBorders>
              <w:bottom w:val="single" w:sz="8" w:color="auto"/>
            </w:tcBorders>
            <w:gridSpan w:val="4"/>
            <w:shd w:val="clear" w:color="auto" w:fill="CCEEFF"/>
          </w:tcPr>
          <w:p>
            <w:pPr>
              <w:spacing w:after="0" w:line="196" w:lineRule="exact"/>
              <w:rPr>
                <w:rFonts w:ascii="Arial" w:cs="Arial" w:eastAsia="Arial" w:hAnsi="Arial"/>
                <w:sz w:val="18"/>
                <w:szCs w:val="18"/>
                <w:color w:val="auto"/>
                <w:w w:val="89"/>
              </w:rPr>
            </w:pPr>
            <w:hyperlink w:anchor="page42">
              <w:r>
                <w:rPr>
                  <w:rFonts w:ascii="Arial" w:cs="Arial" w:eastAsia="Arial" w:hAnsi="Arial"/>
                  <w:sz w:val="18"/>
                  <w:szCs w:val="18"/>
                  <w:color w:val="auto"/>
                  <w:w w:val="89"/>
                </w:rPr>
                <w:t>Consolidated Statements of Operations for the years ended December 31, 2019, 2018, and 2017</w:t>
              </w:r>
            </w:hyperlink>
          </w:p>
        </w:tc>
        <w:tc>
          <w:tcPr>
            <w:tcW w:w="186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80" w:type="dxa"/>
            <w:vAlign w:val="bottom"/>
          </w:tcPr>
          <w:p>
            <w:pPr>
              <w:spacing w:after="0" w:line="196" w:lineRule="exact"/>
              <w:rPr>
                <w:sz w:val="20"/>
                <w:szCs w:val="20"/>
                <w:color w:val="auto"/>
              </w:rPr>
            </w:pPr>
            <w:r>
              <w:rPr>
                <w:rFonts w:ascii="Arial" w:cs="Arial" w:eastAsia="Arial" w:hAnsi="Arial"/>
                <w:sz w:val="18"/>
                <w:szCs w:val="18"/>
                <w:color w:val="auto"/>
              </w:rPr>
              <w:t>(iv)</w:t>
            </w:r>
          </w:p>
        </w:tc>
        <w:tc>
          <w:tcPr>
            <w:tcW w:w="8760" w:type="dxa"/>
            <w:vAlign w:val="bottom"/>
            <w:gridSpan w:val="8"/>
          </w:tcPr>
          <w:p>
            <w:pPr>
              <w:spacing w:after="0" w:line="196" w:lineRule="exact"/>
              <w:rPr>
                <w:rFonts w:ascii="Arial" w:cs="Arial" w:eastAsia="Arial" w:hAnsi="Arial"/>
                <w:sz w:val="18"/>
                <w:szCs w:val="18"/>
                <w:color w:val="auto"/>
                <w:w w:val="94"/>
              </w:rPr>
            </w:pPr>
            <w:hyperlink w:anchor="page43">
              <w:r>
                <w:rPr>
                  <w:rFonts w:ascii="Arial" w:cs="Arial" w:eastAsia="Arial" w:hAnsi="Arial"/>
                  <w:sz w:val="18"/>
                  <w:szCs w:val="18"/>
                  <w:color w:val="auto"/>
                  <w:w w:val="94"/>
                </w:rPr>
                <w:t>Consolidated Statements of Comprehensive Income (Loss) for the years ended December 31, 2019, 2018, and 2017</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(iv)</w:t>
            </w:r>
          </w:p>
        </w:tc>
        <w:tc>
          <w:tcPr>
            <w:tcW w:w="7640" w:type="dxa"/>
            <w:vAlign w:val="bottom"/>
            <w:tcBorders>
              <w:top w:val="single" w:sz="8" w:color="auto"/>
              <w:bottom w:val="single" w:sz="8" w:color="auto"/>
            </w:tcBorders>
            <w:gridSpan w:val="6"/>
            <w:shd w:val="clear" w:color="auto" w:fill="CCEEFF"/>
          </w:tcPr>
          <w:p>
            <w:pPr>
              <w:spacing w:after="0" w:line="196" w:lineRule="exact"/>
              <w:rPr>
                <w:rFonts w:ascii="Arial" w:cs="Arial" w:eastAsia="Arial" w:hAnsi="Arial"/>
                <w:sz w:val="18"/>
                <w:szCs w:val="18"/>
                <w:color w:val="auto"/>
                <w:w w:val="89"/>
              </w:rPr>
            </w:pPr>
            <w:hyperlink w:anchor="page44">
              <w:r>
                <w:rPr>
                  <w:rFonts w:ascii="Arial" w:cs="Arial" w:eastAsia="Arial" w:hAnsi="Arial"/>
                  <w:sz w:val="18"/>
                  <w:szCs w:val="18"/>
                  <w:color w:val="auto"/>
                  <w:w w:val="89"/>
                </w:rPr>
                <w:t>Consolidated Statements of Stockholders’ Equity for the years ended December 31, 2019, 2018, and 2017</w:t>
              </w:r>
            </w:hyperlink>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(v)</w:t>
            </w:r>
          </w:p>
        </w:tc>
        <w:tc>
          <w:tcPr>
            <w:tcW w:w="6960" w:type="dxa"/>
            <w:vAlign w:val="bottom"/>
            <w:tcBorders>
              <w:bottom w:val="single" w:sz="8" w:color="auto"/>
            </w:tcBorders>
            <w:gridSpan w:val="5"/>
          </w:tcPr>
          <w:p>
            <w:pPr>
              <w:spacing w:after="0" w:line="196" w:lineRule="exact"/>
              <w:rPr>
                <w:rFonts w:ascii="Arial" w:cs="Arial" w:eastAsia="Arial" w:hAnsi="Arial"/>
                <w:sz w:val="18"/>
                <w:szCs w:val="18"/>
                <w:color w:val="auto"/>
                <w:w w:val="89"/>
              </w:rPr>
            </w:pPr>
            <w:hyperlink w:anchor="page45">
              <w:r>
                <w:rPr>
                  <w:rFonts w:ascii="Arial" w:cs="Arial" w:eastAsia="Arial" w:hAnsi="Arial"/>
                  <w:sz w:val="18"/>
                  <w:szCs w:val="18"/>
                  <w:color w:val="auto"/>
                  <w:w w:val="89"/>
                </w:rPr>
                <w:t>Consolidated Statements of Cash Flows for the years ended December 31, 2019, 2018, and 2017</w:t>
              </w:r>
            </w:hyperlink>
          </w:p>
        </w:tc>
        <w:tc>
          <w:tcPr>
            <w:tcW w:w="1800" w:type="dxa"/>
            <w:vAlign w:val="bottom"/>
            <w:tcBorders>
              <w:bottom w:val="single" w:sz="8" w:color="CCEEFF"/>
            </w:tcBorders>
            <w:gridSpan w:val="3"/>
          </w:tcPr>
          <w:p>
            <w:pPr>
              <w:spacing w:after="0"/>
              <w:rPr>
                <w:sz w:val="17"/>
                <w:szCs w:val="17"/>
                <w:color w:val="auto"/>
              </w:rPr>
            </w:pPr>
          </w:p>
        </w:tc>
        <w:tc>
          <w:tcPr>
            <w:tcW w:w="7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(vi)</w:t>
            </w:r>
          </w:p>
        </w:tc>
        <w:tc>
          <w:tcPr>
            <w:tcW w:w="3160" w:type="dxa"/>
            <w:vAlign w:val="bottom"/>
            <w:tcBorders>
              <w:bottom w:val="single" w:sz="8" w:color="auto"/>
            </w:tcBorders>
            <w:shd w:val="clear" w:color="auto" w:fill="CCEEFF"/>
          </w:tcPr>
          <w:p>
            <w:pPr>
              <w:spacing w:after="0" w:line="196" w:lineRule="exact"/>
              <w:rPr>
                <w:rFonts w:ascii="Arial" w:cs="Arial" w:eastAsia="Arial" w:hAnsi="Arial"/>
                <w:sz w:val="18"/>
                <w:szCs w:val="18"/>
                <w:color w:val="auto"/>
                <w:w w:val="89"/>
              </w:rPr>
            </w:pPr>
            <w:hyperlink w:anchor="page46">
              <w:r>
                <w:rPr>
                  <w:rFonts w:ascii="Arial" w:cs="Arial" w:eastAsia="Arial" w:hAnsi="Arial"/>
                  <w:sz w:val="18"/>
                  <w:szCs w:val="18"/>
                  <w:color w:val="auto"/>
                  <w:w w:val="89"/>
                </w:rPr>
                <w:t>Notes to Consolidated Financial Statements</w:t>
              </w:r>
            </w:hyperlink>
          </w:p>
        </w:tc>
        <w:tc>
          <w:tcPr>
            <w:tcW w:w="560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r>
    </w:tbl>
    <w:p>
      <w:pPr>
        <w:spacing w:after="0" w:line="144" w:lineRule="exact"/>
        <w:rPr>
          <w:sz w:val="20"/>
          <w:szCs w:val="20"/>
          <w:color w:val="auto"/>
        </w:rPr>
      </w:pPr>
    </w:p>
    <w:p>
      <w:pPr>
        <w:ind w:left="444" w:hanging="444"/>
        <w:spacing w:after="0"/>
        <w:tabs>
          <w:tab w:leader="none" w:pos="44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48" w:lineRule="exact"/>
        <w:rPr>
          <w:sz w:val="20"/>
          <w:szCs w:val="20"/>
          <w:color w:val="auto"/>
        </w:rPr>
      </w:pPr>
    </w:p>
    <w:p>
      <w:pPr>
        <w:ind w:left="4" w:right="300"/>
        <w:spacing w:after="0" w:line="235"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17" w:lineRule="exact"/>
        <w:rPr>
          <w:sz w:val="20"/>
          <w:szCs w:val="20"/>
          <w:color w:val="auto"/>
        </w:rPr>
      </w:pPr>
    </w:p>
    <w:p>
      <w:pPr>
        <w:ind w:left="444" w:hanging="444"/>
        <w:spacing w:after="0"/>
        <w:tabs>
          <w:tab w:leader="none" w:pos="44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“Exhibit Index” immediately preceding the signature page of this Form 10-K, which is incorporated herein by reference.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11" w:right="9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Tile Shop Holdings,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audited the accompanying consolidated balance sheets of Tile Shop Holdings, Inc. and Subsidiaries (the Company) as of December 31, 2019 and 2018, and the related consolidated statements of operations, comprehensive income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13, 2020 expressed an adverse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2019 due to the adoption of Accounting Standards Update No. 2016-02, Leases (Topic 842), as amended, effective January 1, 2019, using the modified retrospective approach.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Tile Shop Holdings,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audited Tile Shop Holdings, Inc.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Tile Shop Holdings, Inc. and Subsidiaries (the Company) has not maintained effective internal control over financial reporting as of December 31, 2019, based on the COSO criteria.</w:t>
      </w:r>
    </w:p>
    <w:p>
      <w:pPr>
        <w:spacing w:after="0" w:line="161" w:lineRule="exact"/>
        <w:rPr>
          <w:sz w:val="20"/>
          <w:szCs w:val="20"/>
          <w:color w:val="auto"/>
        </w:rPr>
      </w:pPr>
    </w:p>
    <w:p>
      <w:pPr>
        <w:jc w:val="both"/>
        <w:ind w:right="480"/>
        <w:spacing w:after="0" w:line="287"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Management has identified material weaknesses related to (i) the ineffective design and implementation of effective controls with respect to an enterprise resource planning (ERP) system conversion in 2019 and (ii) the ineffective design and implementation of information technology general controls (ITGCs) for the ERP system that are relevant to the preparation of financial statements. The business process controls (automated and manual) are dependent on the affected ITGCs and, therefore, are also deemed ineffective because they are adversely impacted by the ineffective ITGCs.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2019 consolidated financial statements of the Company. These material weaknesses were considered in determining the nature, timing and extent of audit tests applied in our audit of the 2019 consolidated financial statements, and this report does not affect our report dated March 13, 2020, which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348"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67945</wp:posOffset>
            </wp:positionV>
            <wp:extent cx="63519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3" w:lineRule="auto"/>
        <w:rPr>
          <w:sz w:val="20"/>
          <w:szCs w:val="20"/>
          <w:color w:val="auto"/>
        </w:rPr>
      </w:pPr>
      <w:r>
        <w:rPr>
          <w:rFonts w:ascii="Arial" w:cs="Arial" w:eastAsia="Arial" w:hAnsi="Arial"/>
          <w:sz w:val="18"/>
          <w:szCs w:val="18"/>
          <w:color w:val="auto"/>
        </w:rPr>
        <w:t>Consolidated Balance Sheets</w:t>
      </w:r>
    </w:p>
    <w:p>
      <w:pPr>
        <w:jc w:val="center"/>
        <w:spacing w:after="0" w:line="203" w:lineRule="auto"/>
        <w:rPr>
          <w:sz w:val="20"/>
          <w:szCs w:val="20"/>
          <w:color w:val="auto"/>
        </w:rPr>
      </w:pPr>
      <w:r>
        <w:rPr>
          <w:rFonts w:ascii="Arial" w:cs="Arial" w:eastAsia="Arial" w:hAnsi="Arial"/>
          <w:sz w:val="18"/>
          <w:szCs w:val="18"/>
          <w:color w:val="auto"/>
        </w:rPr>
        <w:t>As of December 31, 2019 and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03"/>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2019</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42"/>
        </w:trPr>
        <w:tc>
          <w:tcPr>
            <w:tcW w:w="7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110,095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158,356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297,630</w:t>
            </w:r>
          </w:p>
        </w:tc>
        <w:tc>
          <w:tcPr>
            <w:tcW w:w="0" w:type="dxa"/>
            <w:vAlign w:val="bottom"/>
          </w:tcPr>
          <w:p>
            <w:pPr>
              <w:spacing w:after="0"/>
              <w:rPr>
                <w:sz w:val="1"/>
                <w:szCs w:val="1"/>
                <w:color w:val="auto"/>
              </w:rPr>
            </w:pPr>
          </w:p>
        </w:tc>
      </w:tr>
      <w:tr>
        <w:trPr>
          <w:trHeight w:val="176"/>
        </w:trPr>
        <w:tc>
          <w:tcPr>
            <w:tcW w:w="7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18,181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25,853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Arial" w:cs="Arial" w:eastAsia="Arial" w:hAnsi="Arial"/>
                <w:sz w:val="18"/>
                <w:szCs w:val="18"/>
                <w:color w:val="auto"/>
              </w:rPr>
              <w:t>Current portion of lease liability</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50,516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Long-term lease liability, net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obligation, net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43,579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151,283</w:t>
            </w:r>
          </w:p>
        </w:tc>
        <w:tc>
          <w:tcPr>
            <w:tcW w:w="0" w:type="dxa"/>
            <w:vAlign w:val="bottom"/>
          </w:tcPr>
          <w:p>
            <w:pPr>
              <w:spacing w:after="0"/>
              <w:rPr>
                <w:sz w:val="1"/>
                <w:szCs w:val="1"/>
                <w:color w:val="auto"/>
              </w:rPr>
            </w:pPr>
          </w:p>
        </w:tc>
      </w:tr>
      <w:tr>
        <w:trPr>
          <w:trHeight w:val="169"/>
        </w:trPr>
        <w:tc>
          <w:tcPr>
            <w:tcW w:w="7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60" w:type="dxa"/>
            <w:vAlign w:val="bottom"/>
          </w:tcPr>
          <w:p>
            <w:pPr>
              <w:spacing w:after="0" w:line="176" w:lineRule="exact"/>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Common stock, par value: $0.0001; authorized: 100,000,000 shares; issued and</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50,806,674 and 52,707,879 shares, respectively</w:t>
            </w: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360" w:type="dxa"/>
            <w:vAlign w:val="bottom"/>
          </w:tcPr>
          <w:p>
            <w:pPr>
              <w:spacing w:after="0" w:line="176" w:lineRule="exact"/>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(25,518)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21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297,630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2" w:right="9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ind w:right="2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20"/>
        <w:spacing w:after="0" w:line="203" w:lineRule="auto"/>
        <w:rPr>
          <w:sz w:val="20"/>
          <w:szCs w:val="20"/>
          <w:color w:val="auto"/>
        </w:rPr>
      </w:pPr>
      <w:r>
        <w:rPr>
          <w:rFonts w:ascii="Arial" w:cs="Arial" w:eastAsia="Arial" w:hAnsi="Arial"/>
          <w:sz w:val="18"/>
          <w:szCs w:val="18"/>
          <w:color w:val="auto"/>
        </w:rPr>
        <w:t>Consolidated Statements of Operations</w:t>
      </w:r>
    </w:p>
    <w:p>
      <w:pPr>
        <w:jc w:val="center"/>
        <w:ind w:right="20"/>
        <w:spacing w:after="0" w:line="204" w:lineRule="auto"/>
        <w:rPr>
          <w:sz w:val="20"/>
          <w:szCs w:val="20"/>
          <w:color w:val="auto"/>
        </w:rPr>
      </w:pPr>
      <w:r>
        <w:rPr>
          <w:rFonts w:ascii="Arial" w:cs="Arial" w:eastAsia="Arial" w:hAnsi="Arial"/>
          <w:sz w:val="18"/>
          <w:szCs w:val="18"/>
          <w:color w:val="auto"/>
        </w:rPr>
        <w:t>For the years ended December 31, 2019, 2018 and 2017</w:t>
      </w:r>
    </w:p>
    <w:p>
      <w:pPr>
        <w:jc w:val="center"/>
        <w:ind w:right="20"/>
        <w:spacing w:after="0"/>
        <w:rPr>
          <w:sz w:val="20"/>
          <w:szCs w:val="20"/>
          <w:color w:val="auto"/>
        </w:rPr>
      </w:pPr>
      <w:r>
        <w:rPr>
          <w:rFonts w:ascii="Arial" w:cs="Arial" w:eastAsia="Arial" w:hAnsi="Arial"/>
          <w:sz w:val="18"/>
          <w:szCs w:val="18"/>
          <w:color w:val="auto"/>
        </w:rPr>
        <w:t>(dollars 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7"/>
                <w:szCs w:val="17"/>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20" w:type="dxa"/>
            <w:vAlign w:val="bottom"/>
          </w:tcPr>
          <w:p>
            <w:pPr>
              <w:spacing w:after="0"/>
              <w:rPr>
                <w:sz w:val="18"/>
                <w:szCs w:val="18"/>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20" w:type="dxa"/>
            <w:vAlign w:val="bottom"/>
          </w:tcPr>
          <w:p>
            <w:pPr>
              <w:spacing w:after="0"/>
              <w:rPr>
                <w:sz w:val="18"/>
                <w:szCs w:val="18"/>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20" w:type="dxa"/>
            <w:vAlign w:val="bottom"/>
          </w:tcPr>
          <w:p>
            <w:pPr>
              <w:spacing w:after="0"/>
              <w:rPr>
                <w:sz w:val="18"/>
                <w:szCs w:val="18"/>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20" w:type="dxa"/>
            <w:vAlign w:val="bottom"/>
          </w:tcPr>
          <w:p>
            <w:pPr>
              <w:spacing w:after="0"/>
              <w:rPr>
                <w:sz w:val="18"/>
                <w:szCs w:val="18"/>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24,159</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10,442</w:t>
            </w:r>
          </w:p>
        </w:tc>
        <w:tc>
          <w:tcPr>
            <w:tcW w:w="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10,819</w:t>
            </w:r>
          </w:p>
        </w:tc>
        <w:tc>
          <w:tcPr>
            <w:tcW w:w="20" w:type="dxa"/>
            <w:vAlign w:val="bottom"/>
          </w:tcPr>
          <w:p>
            <w:pPr>
              <w:spacing w:after="0"/>
              <w:rPr>
                <w:sz w:val="18"/>
                <w:szCs w:val="18"/>
                <w:color w:val="auto"/>
              </w:rPr>
            </w:pPr>
          </w:p>
        </w:tc>
      </w:tr>
      <w:tr>
        <w:trPr>
          <w:trHeight w:val="176"/>
        </w:trPr>
        <w:tc>
          <w:tcPr>
            <w:tcW w:w="404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40" w:type="dxa"/>
            <w:vAlign w:val="bottom"/>
          </w:tcPr>
          <w:p>
            <w:pPr>
              <w:spacing w:after="0" w:line="176" w:lineRule="exact"/>
              <w:rPr>
                <w:sz w:val="20"/>
                <w:szCs w:val="20"/>
                <w:color w:val="auto"/>
              </w:rPr>
            </w:pPr>
            <w:r>
              <w:rPr>
                <w:rFonts w:ascii="Arial" w:cs="Arial" w:eastAsia="Arial" w:hAnsi="Arial"/>
                <w:sz w:val="18"/>
                <w:szCs w:val="18"/>
                <w:color w:val="auto"/>
              </w:rPr>
              <w:t>(Loss) income per common share:</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r>
      <w:tr>
        <w:trPr>
          <w:trHeight w:val="176"/>
        </w:trPr>
        <w:tc>
          <w:tcPr>
            <w:tcW w:w="40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40" w:type="dxa"/>
            <w:vAlign w:val="bottom"/>
          </w:tcPr>
          <w:p>
            <w:pPr>
              <w:spacing w:after="0" w:line="176" w:lineRule="exact"/>
              <w:rPr>
                <w:sz w:val="20"/>
                <w:szCs w:val="20"/>
                <w:color w:val="auto"/>
              </w:rPr>
            </w:pPr>
            <w:r>
              <w:rPr>
                <w:rFonts w:ascii="Arial" w:cs="Arial" w:eastAsia="Arial" w:hAnsi="Arial"/>
                <w:sz w:val="18"/>
                <w:szCs w:val="18"/>
                <w:color w:val="auto"/>
              </w:rPr>
              <w:t>Weighted average shares outstanding:</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50,624,309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51,907,619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51,700,045</w:t>
            </w:r>
          </w:p>
        </w:tc>
        <w:tc>
          <w:tcPr>
            <w:tcW w:w="20" w:type="dxa"/>
            <w:vAlign w:val="bottom"/>
          </w:tcPr>
          <w:p>
            <w:pPr>
              <w:spacing w:after="0"/>
              <w:rPr>
                <w:sz w:val="18"/>
                <w:szCs w:val="18"/>
                <w:color w:val="auto"/>
              </w:rPr>
            </w:pPr>
          </w:p>
        </w:tc>
      </w:t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Diluted</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50,624,309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52,089,160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51,927,877</w:t>
            </w:r>
          </w:p>
        </w:tc>
        <w:tc>
          <w:tcPr>
            <w:tcW w:w="20" w:type="dxa"/>
            <w:vAlign w:val="bottom"/>
          </w:tcPr>
          <w:p>
            <w:pPr>
              <w:spacing w:after="0"/>
              <w:rPr>
                <w:sz w:val="18"/>
                <w:szCs w:val="18"/>
                <w:color w:val="auto"/>
              </w:rPr>
            </w:pPr>
          </w:p>
        </w:tc>
      </w:tr>
      <w:tr>
        <w:trPr>
          <w:trHeight w:val="175"/>
        </w:trPr>
        <w:tc>
          <w:tcPr>
            <w:tcW w:w="40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6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1"/>
                <w:szCs w:val="21"/>
                <w:color w:val="auto"/>
              </w:rPr>
            </w:pPr>
          </w:p>
        </w:tc>
      </w:tr>
      <w:tr>
        <w:trPr>
          <w:trHeight w:val="351"/>
        </w:trPr>
        <w:tc>
          <w:tcPr>
            <w:tcW w:w="7300" w:type="dxa"/>
            <w:vAlign w:val="bottom"/>
            <w:gridSpan w:val="5"/>
          </w:tcPr>
          <w:p>
            <w:pPr>
              <w:jc w:val="center"/>
              <w:ind w:left="25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7"/>
        </w:trPr>
        <w:tc>
          <w:tcPr>
            <w:tcW w:w="4040" w:type="dxa"/>
            <w:vAlign w:val="bottom"/>
          </w:tcPr>
          <w:p>
            <w:pPr>
              <w:spacing w:after="0"/>
              <w:rPr>
                <w:sz w:val="24"/>
                <w:szCs w:val="24"/>
                <w:color w:val="auto"/>
              </w:rPr>
            </w:pP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0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04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3"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04" w:lineRule="auto"/>
        <w:rPr>
          <w:sz w:val="20"/>
          <w:szCs w:val="20"/>
          <w:color w:val="auto"/>
        </w:rPr>
      </w:pPr>
      <w:r>
        <w:rPr>
          <w:rFonts w:ascii="Arial" w:cs="Arial" w:eastAsia="Arial" w:hAnsi="Arial"/>
          <w:sz w:val="18"/>
          <w:szCs w:val="18"/>
          <w:color w:val="auto"/>
        </w:rPr>
        <w:t>For the years ended December 31, 2019, 2018 and 2017</w:t>
      </w:r>
    </w:p>
    <w:p>
      <w:pPr>
        <w:jc w:val="center"/>
        <w:spacing w:after="0"/>
        <w:rPr>
          <w:sz w:val="20"/>
          <w:szCs w:val="20"/>
          <w:color w:val="auto"/>
        </w:rPr>
      </w:pPr>
      <w:r>
        <w:rPr>
          <w:rFonts w:ascii="Arial" w:cs="Arial" w:eastAsia="Arial" w:hAnsi="Arial"/>
          <w:sz w:val="18"/>
          <w:szCs w:val="18"/>
          <w:color w:val="auto"/>
        </w:rPr>
        <w:t>(dollars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4280" w:type="dxa"/>
            <w:vAlign w:val="bottom"/>
          </w:tcPr>
          <w:p>
            <w:pPr>
              <w:spacing w:after="0"/>
              <w:rPr>
                <w:sz w:val="20"/>
                <w:szCs w:val="20"/>
                <w:color w:val="auto"/>
              </w:rPr>
            </w:pPr>
            <w:r>
              <w:rPr>
                <w:rFonts w:ascii="Arial" w:cs="Arial" w:eastAsia="Arial" w:hAnsi="Arial"/>
                <w:sz w:val="18"/>
                <w:szCs w:val="18"/>
                <w:b w:val="1"/>
                <w:bCs w:val="1"/>
                <w:color w:val="auto"/>
              </w:rPr>
              <w:t>Comprehensive (loss) income</w:t>
            </w:r>
          </w:p>
        </w:tc>
        <w:tc>
          <w:tcPr>
            <w:tcW w:w="1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(4,477)</w:t>
            </w:r>
          </w:p>
        </w:tc>
        <w:tc>
          <w:tcPr>
            <w:tcW w:w="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10,387</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10,864</w:t>
            </w:r>
          </w:p>
        </w:tc>
      </w:tr>
      <w:tr>
        <w:trPr>
          <w:trHeight w:val="27"/>
        </w:trPr>
        <w:tc>
          <w:tcPr>
            <w:tcW w:w="4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ind w:left="92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ind w:left="920"/>
        <w:spacing w:after="0" w:line="203" w:lineRule="auto"/>
        <w:rPr>
          <w:sz w:val="20"/>
          <w:szCs w:val="20"/>
          <w:color w:val="auto"/>
        </w:rPr>
      </w:pPr>
      <w:r>
        <w:rPr>
          <w:rFonts w:ascii="Arial" w:cs="Arial" w:eastAsia="Arial" w:hAnsi="Arial"/>
          <w:sz w:val="18"/>
          <w:szCs w:val="18"/>
          <w:color w:val="auto"/>
        </w:rPr>
        <w:t>Consolidated Statements of Stockholders’ Equity</w:t>
      </w:r>
    </w:p>
    <w:p>
      <w:pPr>
        <w:spacing w:after="0" w:line="1" w:lineRule="exact"/>
        <w:rPr>
          <w:sz w:val="20"/>
          <w:szCs w:val="20"/>
          <w:color w:val="auto"/>
        </w:rPr>
      </w:pPr>
    </w:p>
    <w:p>
      <w:pPr>
        <w:jc w:val="center"/>
        <w:ind w:left="920"/>
        <w:spacing w:after="0"/>
        <w:rPr>
          <w:sz w:val="20"/>
          <w:szCs w:val="20"/>
          <w:color w:val="auto"/>
        </w:rPr>
      </w:pPr>
      <w:r>
        <w:rPr>
          <w:rFonts w:ascii="Arial" w:cs="Arial" w:eastAsia="Arial" w:hAnsi="Arial"/>
          <w:sz w:val="18"/>
          <w:szCs w:val="18"/>
          <w:color w:val="auto"/>
        </w:rPr>
        <w:t>(dollars in thousands, except share data)</w:t>
      </w:r>
    </w:p>
    <w:p>
      <w:pPr>
        <w:spacing w:after="0" w:line="158"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20"/>
        </w:trPr>
        <w:tc>
          <w:tcPr>
            <w:tcW w:w="3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center"/>
              <w:ind w:right="160"/>
              <w:spacing w:after="0" w:line="12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color w:val="auto"/>
                <w:w w:val="89"/>
              </w:rPr>
              <w:t>Retained</w:t>
            </w:r>
          </w:p>
        </w:tc>
        <w:tc>
          <w:tcPr>
            <w:tcW w:w="140" w:type="dxa"/>
            <w:vAlign w:val="bottom"/>
          </w:tcPr>
          <w:p>
            <w:pPr>
              <w:spacing w:after="0" w:line="20" w:lineRule="exact"/>
              <w:rPr>
                <w:sz w:val="1"/>
                <w:szCs w:val="1"/>
                <w:color w:val="auto"/>
              </w:rPr>
            </w:pPr>
          </w:p>
        </w:tc>
        <w:tc>
          <w:tcPr>
            <w:tcW w:w="132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color w:val="auto"/>
                <w:w w:val="94"/>
              </w:rPr>
              <w:t>Accumulated other</w:t>
            </w: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120" w:type="dxa"/>
            <w:vAlign w:val="bottom"/>
            <w:vMerge w:val="restart"/>
          </w:tcPr>
          <w:p>
            <w:pPr>
              <w:jc w:val="right"/>
              <w:ind w:right="271"/>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8"/>
              </w:rPr>
              <w:t>paid-in-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9"/>
              </w:rPr>
              <w:t>earnings</w:t>
            </w:r>
          </w:p>
        </w:tc>
        <w:tc>
          <w:tcPr>
            <w:tcW w:w="140" w:type="dxa"/>
            <w:vAlign w:val="bottom"/>
          </w:tcPr>
          <w:p>
            <w:pPr>
              <w:spacing w:after="0"/>
              <w:rPr>
                <w:sz w:val="11"/>
                <w:szCs w:val="11"/>
                <w:color w:val="auto"/>
              </w:rPr>
            </w:pPr>
          </w:p>
        </w:tc>
        <w:tc>
          <w:tcPr>
            <w:tcW w:w="132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2"/>
              </w:rPr>
              <w:t>comprehensive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3"/>
              </w:rPr>
              <w:t>(loss) income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January 1, 2017</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51,607,143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79"/>
              </w:rPr>
              <w:t>5</w:t>
            </w:r>
          </w:p>
        </w:tc>
        <w:tc>
          <w:tcPr>
            <w:tcW w:w="2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185,998</w:t>
            </w:r>
          </w:p>
        </w:tc>
        <w:tc>
          <w:tcPr>
            <w:tcW w:w="40" w:type="dxa"/>
            <w:vAlign w:val="bottom"/>
          </w:tcPr>
          <w:p>
            <w:pPr>
              <w:spacing w:after="0"/>
              <w:rPr>
                <w:sz w:val="16"/>
                <w:szCs w:val="16"/>
                <w:color w:val="auto"/>
              </w:rPr>
            </w:pPr>
          </w:p>
        </w:tc>
        <w:tc>
          <w:tcPr>
            <w:tcW w:w="2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(47,058)</w:t>
            </w:r>
          </w:p>
        </w:tc>
        <w:tc>
          <w:tcPr>
            <w:tcW w:w="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324,184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(87,849)</w:t>
            </w: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3" w:lineRule="exact"/>
              <w:rPr>
                <w:sz w:val="20"/>
                <w:szCs w:val="20"/>
                <w:color w:val="auto"/>
              </w:rPr>
            </w:pPr>
            <w:r>
              <w:rPr>
                <w:rFonts w:ascii="Arial" w:cs="Arial" w:eastAsia="Arial" w:hAnsi="Arial"/>
                <w:sz w:val="18"/>
                <w:szCs w:val="18"/>
                <w:color w:val="auto"/>
              </w:rPr>
              <w:t>Stock option exercises</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313,372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left="41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1,639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Arial" w:cs="Arial" w:eastAsia="Arial" w:hAnsi="Arial"/>
                <w:sz w:val="18"/>
                <w:szCs w:val="18"/>
                <w:color w:val="auto"/>
                <w:w w:val="98"/>
              </w:rPr>
              <w:t>settlements of stock based compensation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Dividends paid ($0.20 per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(10,366)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9"/>
              </w:rPr>
              <w:t>Foreign currency translation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2017</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52,156,850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center"/>
              <w:ind w:left="391"/>
              <w:spacing w:after="0" w:line="182" w:lineRule="exact"/>
              <w:rPr>
                <w:sz w:val="20"/>
                <w:szCs w:val="20"/>
                <w:color w:val="auto"/>
              </w:rPr>
            </w:pPr>
            <w:r>
              <w:rPr>
                <w:rFonts w:ascii="Arial" w:cs="Arial" w:eastAsia="Arial" w:hAnsi="Arial"/>
                <w:sz w:val="18"/>
                <w:szCs w:val="18"/>
                <w:color w:val="auto"/>
                <w:w w:val="79"/>
              </w:rPr>
              <w:t>5</w:t>
            </w:r>
          </w:p>
        </w:tc>
        <w:tc>
          <w:tcPr>
            <w:tcW w:w="20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180,109</w:t>
            </w:r>
          </w:p>
        </w:tc>
        <w:tc>
          <w:tcPr>
            <w:tcW w:w="40" w:type="dxa"/>
            <w:vAlign w:val="bottom"/>
          </w:tcPr>
          <w:p>
            <w:pPr>
              <w:spacing w:after="0"/>
              <w:rPr>
                <w:sz w:val="15"/>
                <w:szCs w:val="15"/>
                <w:color w:val="auto"/>
              </w:rPr>
            </w:pPr>
          </w:p>
        </w:tc>
        <w:tc>
          <w:tcPr>
            <w:tcW w:w="2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(36,239)</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Arial" w:cs="Arial" w:eastAsia="Arial" w:hAnsi="Arial"/>
                <w:sz w:val="18"/>
                <w:szCs w:val="18"/>
                <w:color w:val="auto"/>
                <w:w w:val="98"/>
              </w:rPr>
              <w:t>Adoption of revenue recognition standard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line="189" w:lineRule="exact"/>
              <w:rPr>
                <w:sz w:val="20"/>
                <w:szCs w:val="20"/>
                <w:color w:val="auto"/>
              </w:rPr>
            </w:pPr>
            <w:r>
              <w:rPr>
                <w:rFonts w:ascii="Arial" w:cs="Arial" w:eastAsia="Arial" w:hAnsi="Arial"/>
                <w:sz w:val="18"/>
                <w:szCs w:val="18"/>
                <w:color w:val="auto"/>
              </w:rPr>
              <w:t>(see Note 2)</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682,646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(131,617)</w:t>
            </w: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3" w:lineRule="exact"/>
              <w:rPr>
                <w:sz w:val="20"/>
                <w:szCs w:val="20"/>
                <w:color w:val="auto"/>
              </w:rPr>
            </w:pPr>
            <w:r>
              <w:rPr>
                <w:rFonts w:ascii="Arial" w:cs="Arial" w:eastAsia="Arial" w:hAnsi="Arial"/>
                <w:sz w:val="18"/>
                <w:szCs w:val="18"/>
                <w:color w:val="auto"/>
              </w:rPr>
              <w:t>Stock based compensation</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left="41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Arial" w:cs="Arial" w:eastAsia="Arial" w:hAnsi="Arial"/>
                <w:sz w:val="18"/>
                <w:szCs w:val="18"/>
                <w:color w:val="auto"/>
                <w:w w:val="98"/>
              </w:rPr>
              <w:t>settlements of stock based compensation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Dividends paid ($0.20 per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9"/>
              </w:rPr>
              <w:t>Foreign currency translation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2018</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52,707,879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center"/>
              <w:ind w:left="391"/>
              <w:spacing w:after="0" w:line="182" w:lineRule="exact"/>
              <w:rPr>
                <w:sz w:val="20"/>
                <w:szCs w:val="20"/>
                <w:color w:val="auto"/>
              </w:rPr>
            </w:pPr>
            <w:r>
              <w:rPr>
                <w:rFonts w:ascii="Arial" w:cs="Arial" w:eastAsia="Arial" w:hAnsi="Arial"/>
                <w:sz w:val="18"/>
                <w:szCs w:val="18"/>
                <w:color w:val="auto"/>
                <w:w w:val="79"/>
              </w:rPr>
              <w:t>5</w:t>
            </w:r>
          </w:p>
        </w:tc>
        <w:tc>
          <w:tcPr>
            <w:tcW w:w="20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172,255</w:t>
            </w:r>
          </w:p>
        </w:tc>
        <w:tc>
          <w:tcPr>
            <w:tcW w:w="40" w:type="dxa"/>
            <w:vAlign w:val="bottom"/>
          </w:tcPr>
          <w:p>
            <w:pPr>
              <w:spacing w:after="0"/>
              <w:rPr>
                <w:sz w:val="15"/>
                <w:szCs w:val="15"/>
                <w:color w:val="auto"/>
              </w:rPr>
            </w:pPr>
          </w:p>
        </w:tc>
        <w:tc>
          <w:tcPr>
            <w:tcW w:w="20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(25,857)</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Arial" w:cs="Arial" w:eastAsia="Arial" w:hAnsi="Arial"/>
                <w:sz w:val="18"/>
                <w:szCs w:val="18"/>
                <w:color w:val="auto"/>
                <w:w w:val="93"/>
              </w:rPr>
              <w:t>Adoption of lease standard (see Note 1 and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line="189" w:lineRule="exact"/>
              <w:rPr>
                <w:sz w:val="20"/>
                <w:szCs w:val="20"/>
                <w:color w:val="auto"/>
              </w:rPr>
            </w:pPr>
            <w:r>
              <w:rPr>
                <w:rFonts w:ascii="Arial" w:cs="Arial" w:eastAsia="Arial" w:hAnsi="Arial"/>
                <w:sz w:val="18"/>
                <w:szCs w:val="18"/>
                <w:color w:val="auto"/>
              </w:rPr>
              <w:t>Note 7)</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781,697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(375,879)</w:t>
            </w: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(2,307,023)</w:t>
            </w: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3" w:lineRule="exact"/>
              <w:rPr>
                <w:sz w:val="20"/>
                <w:szCs w:val="20"/>
                <w:color w:val="auto"/>
              </w:rPr>
            </w:pPr>
            <w:r>
              <w:rPr>
                <w:rFonts w:ascii="Arial" w:cs="Arial" w:eastAsia="Arial" w:hAnsi="Arial"/>
                <w:sz w:val="18"/>
                <w:szCs w:val="18"/>
                <w:color w:val="auto"/>
              </w:rPr>
              <w:t>Stock based compensation</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left="41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2,645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Arial" w:cs="Arial" w:eastAsia="Arial" w:hAnsi="Arial"/>
                <w:sz w:val="18"/>
                <w:szCs w:val="18"/>
                <w:color w:val="auto"/>
                <w:w w:val="98"/>
              </w:rPr>
              <w:t>settlements of stock based compensation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Dividends paid ($0.15 per share)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w w:val="99"/>
              </w:rPr>
              <w:t>Foreign currency translation adjustments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(4,463)</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50,806,674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center"/>
              <w:ind w:left="391"/>
              <w:spacing w:after="0"/>
              <w:rPr>
                <w:sz w:val="20"/>
                <w:szCs w:val="20"/>
                <w:color w:val="auto"/>
              </w:rPr>
            </w:pPr>
            <w:r>
              <w:rPr>
                <w:rFonts w:ascii="Arial" w:cs="Arial" w:eastAsia="Arial" w:hAnsi="Arial"/>
                <w:sz w:val="18"/>
                <w:szCs w:val="18"/>
                <w:color w:val="auto"/>
                <w:w w:val="79"/>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156,482</w:t>
            </w:r>
          </w:p>
        </w:tc>
        <w:tc>
          <w:tcPr>
            <w:tcW w:w="4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(25,518)</w:t>
            </w:r>
          </w:p>
        </w:tc>
        <w:tc>
          <w:tcPr>
            <w:tcW w:w="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-4508500</wp:posOffset>
            </wp:positionV>
            <wp:extent cx="63093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-4234180</wp:posOffset>
            </wp:positionV>
            <wp:extent cx="63093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-3762375</wp:posOffset>
            </wp:positionV>
            <wp:extent cx="63093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-3488055</wp:posOffset>
            </wp:positionV>
            <wp:extent cx="63093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-3205480</wp:posOffset>
            </wp:positionV>
            <wp:extent cx="630936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936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-2845435</wp:posOffset>
            </wp:positionV>
            <wp:extent cx="63093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-2571115</wp:posOffset>
            </wp:positionV>
            <wp:extent cx="6309360" cy="334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9360" cy="3346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-2099945</wp:posOffset>
            </wp:positionV>
            <wp:extent cx="63093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-1456690</wp:posOffset>
            </wp:positionV>
            <wp:extent cx="63093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-1182370</wp:posOffset>
            </wp:positionV>
            <wp:extent cx="63093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-908050</wp:posOffset>
            </wp:positionV>
            <wp:extent cx="6309360" cy="334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9360" cy="3340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63093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wp:posOffset>
            </wp:positionV>
            <wp:extent cx="630936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9360" cy="1543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-1825625</wp:posOffset>
            </wp:positionV>
            <wp:extent cx="630936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936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-4791075</wp:posOffset>
            </wp:positionV>
            <wp:extent cx="630936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9360" cy="145415"/>
                    </a:xfrm>
                    <a:prstGeom prst="rect">
                      <a:avLst/>
                    </a:prstGeom>
                    <a:noFill/>
                  </pic:spPr>
                </pic:pic>
              </a:graphicData>
            </a:graphic>
          </wp:anchor>
        </w:drawing>
      </w:r>
    </w:p>
    <w:p>
      <w:pPr>
        <w:spacing w:after="0" w:line="12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138,899</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3,156</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1,639</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(10,366)</w:t>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5715</wp:posOffset>
            </wp:positionV>
            <wp:extent cx="6515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143,874</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(60)</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ind w:left="200"/>
        <w:spacing w:after="0"/>
        <w:rPr>
          <w:sz w:val="20"/>
          <w:szCs w:val="20"/>
          <w:color w:val="auto"/>
        </w:rPr>
      </w:pPr>
      <w:r>
        <w:rPr>
          <w:rFonts w:ascii="Arial" w:cs="Arial" w:eastAsia="Arial" w:hAnsi="Arial"/>
          <w:sz w:val="18"/>
          <w:szCs w:val="18"/>
          <w:color w:val="auto"/>
        </w:rPr>
        <w:t>2,669</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(10,404)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10,442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146,347</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4,802</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jc w:val="right"/>
        <w:spacing w:after="0"/>
        <w:rPr>
          <w:sz w:val="20"/>
          <w:szCs w:val="20"/>
          <w:color w:val="auto"/>
        </w:rPr>
      </w:pPr>
      <w:r>
        <w:rPr>
          <w:rFonts w:ascii="Arial" w:cs="Arial" w:eastAsia="Arial" w:hAnsi="Arial"/>
          <w:sz w:val="17"/>
          <w:szCs w:val="17"/>
          <w:color w:val="auto"/>
        </w:rPr>
        <w:t>(10,456)</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2,645</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(4,463)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130,899</w:t>
      </w:r>
    </w:p>
    <w:p>
      <w:pPr>
        <w:sectPr>
          <w:pgSz w:w="11900" w:h="16838" w:orient="portrait"/>
          <w:cols w:equalWidth="0" w:num="2">
            <w:col w:w="9000" w:space="280"/>
            <w:col w:w="660"/>
          </w:cols>
          <w:pgMar w:left="980" w:top="96" w:right="9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3" w:lineRule="auto"/>
        <w:rPr>
          <w:sz w:val="20"/>
          <w:szCs w:val="20"/>
          <w:color w:val="auto"/>
        </w:rPr>
      </w:pPr>
      <w:r>
        <w:rPr>
          <w:rFonts w:ascii="Arial" w:cs="Arial" w:eastAsia="Arial" w:hAnsi="Arial"/>
          <w:sz w:val="18"/>
          <w:szCs w:val="18"/>
          <w:color w:val="auto"/>
        </w:rPr>
        <w:t>Consolidated Statements of Cash Flows</w:t>
      </w:r>
    </w:p>
    <w:p>
      <w:pPr>
        <w:jc w:val="center"/>
        <w:spacing w:after="0" w:line="204" w:lineRule="auto"/>
        <w:rPr>
          <w:sz w:val="20"/>
          <w:szCs w:val="20"/>
          <w:color w:val="auto"/>
        </w:rPr>
      </w:pPr>
      <w:r>
        <w:rPr>
          <w:rFonts w:ascii="Arial" w:cs="Arial" w:eastAsia="Arial" w:hAnsi="Arial"/>
          <w:sz w:val="18"/>
          <w:szCs w:val="18"/>
          <w:color w:val="auto"/>
        </w:rPr>
        <w:t>For the years ended December 31, 2019, 2018 and 2017</w:t>
      </w:r>
    </w:p>
    <w:p>
      <w:pPr>
        <w:jc w:val="center"/>
        <w:spacing w:after="0"/>
        <w:rPr>
          <w:sz w:val="20"/>
          <w:szCs w:val="20"/>
          <w:color w:val="auto"/>
        </w:rPr>
      </w:pPr>
      <w:r>
        <w:rPr>
          <w:rFonts w:ascii="Arial" w:cs="Arial" w:eastAsia="Arial" w:hAnsi="Arial"/>
          <w:sz w:val="18"/>
          <w:szCs w:val="18"/>
          <w:color w:val="auto"/>
        </w:rPr>
        <w:t>(dollars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2019</w:t>
            </w:r>
          </w:p>
        </w:tc>
        <w:tc>
          <w:tcPr>
            <w:tcW w:w="1480" w:type="dxa"/>
            <w:vAlign w:val="bottom"/>
            <w:gridSpan w:val="4"/>
          </w:tcPr>
          <w:p>
            <w:pPr>
              <w:ind w:left="20"/>
              <w:spacing w:after="0"/>
              <w:rPr>
                <w:sz w:val="20"/>
                <w:szCs w:val="20"/>
                <w:color w:val="auto"/>
              </w:rPr>
            </w:pPr>
            <w:r>
              <w:rPr>
                <w:rFonts w:ascii="Arial" w:cs="Arial" w:eastAsia="Arial" w:hAnsi="Arial"/>
                <w:sz w:val="18"/>
                <w:szCs w:val="18"/>
                <w:color w:val="auto"/>
                <w:w w:val="86"/>
              </w:rPr>
              <w:t>For the years ended,</w:t>
            </w:r>
          </w:p>
        </w:tc>
        <w:tc>
          <w:tcPr>
            <w:tcW w:w="26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57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2018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7"/>
                <w:szCs w:val="17"/>
                <w:color w:val="auto"/>
                <w:w w:val="99"/>
              </w:rPr>
              <w:t>Adjustments to reconcile net (loss) income to net cash provided by operating</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&amp; amortization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disposals of property, plant and equipment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Impairment charges of property, plant and equipment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leases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6"/>
        </w:trPr>
        <w:tc>
          <w:tcPr>
            <w:tcW w:w="576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176"/>
        </w:trPr>
        <w:tc>
          <w:tcPr>
            <w:tcW w:w="5760" w:type="dxa"/>
            <w:vAlign w:val="bottom"/>
          </w:tcPr>
          <w:p>
            <w:pPr>
              <w:ind w:left="2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(24,836)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(8,201)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receivable / payable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(35,287)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w:t>
            </w: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Proceeds from insurance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sale of property, plant and equipment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576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(40,549)</w:t>
            </w:r>
          </w:p>
        </w:tc>
        <w:tc>
          <w:tcPr>
            <w:tcW w:w="0" w:type="dxa"/>
            <w:vAlign w:val="bottom"/>
          </w:tcPr>
          <w:p>
            <w:pPr>
              <w:spacing w:after="0"/>
              <w:rPr>
                <w:sz w:val="1"/>
                <w:szCs w:val="1"/>
                <w:color w:val="auto"/>
              </w:rPr>
            </w:pPr>
          </w:p>
        </w:tc>
      </w:tr>
      <w:tr>
        <w:trPr>
          <w:trHeight w:val="175"/>
        </w:trPr>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Payments of long-term debt and financing lease obligations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(103,267)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(36,575)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Advances on line of credit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(10,404)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(10,366)</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taxes paid for shares withheld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760" w:type="dxa"/>
            <w:vAlign w:val="bottom"/>
          </w:tcPr>
          <w:p>
            <w:pPr>
              <w:ind w:left="10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7"/>
        </w:trPr>
        <w:tc>
          <w:tcPr>
            <w:tcW w:w="5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940"/>
          </w:cols>
          <w:pgMar w:left="980" w:top="96" w:right="979" w:bottom="1440" w:gutter="0" w:footer="0" w:header="0"/>
        </w:sect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8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100"/>
              <w:spacing w:after="0" w:line="176" w:lineRule="exact"/>
              <w:rPr>
                <w:sz w:val="20"/>
                <w:szCs w:val="20"/>
                <w:color w:val="auto"/>
              </w:rPr>
            </w:pPr>
            <w:r>
              <w:rPr>
                <w:rFonts w:ascii="Arial" w:cs="Arial" w:eastAsia="Arial" w:hAnsi="Arial"/>
                <w:sz w:val="18"/>
                <w:szCs w:val="18"/>
                <w:color w:val="auto"/>
                <w:w w:val="91"/>
              </w:rPr>
              <w:t>Purchases of property, plant and equipment included in accounts payable and</w:t>
            </w:r>
          </w:p>
        </w:tc>
        <w:tc>
          <w:tcPr>
            <w:tcW w:w="6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5820" w:type="dxa"/>
            <w:vAlign w:val="bottom"/>
          </w:tcPr>
          <w:p>
            <w:pPr>
              <w:ind w:left="100"/>
              <w:spacing w:after="0" w:line="189" w:lineRule="exact"/>
              <w:rPr>
                <w:sz w:val="20"/>
                <w:szCs w:val="20"/>
                <w:color w:val="auto"/>
              </w:rPr>
            </w:pPr>
            <w:r>
              <w:rPr>
                <w:rFonts w:ascii="Arial" w:cs="Arial" w:eastAsia="Arial" w:hAnsi="Arial"/>
                <w:sz w:val="18"/>
                <w:szCs w:val="18"/>
                <w:color w:val="auto"/>
              </w:rPr>
              <w:t>accrued expenses</w:t>
            </w:r>
          </w:p>
        </w:tc>
        <w:tc>
          <w:tcPr>
            <w:tcW w:w="6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00"/>
              <w:spacing w:after="0" w:line="203" w:lineRule="exact"/>
              <w:rPr>
                <w:sz w:val="20"/>
                <w:szCs w:val="20"/>
                <w:color w:val="auto"/>
              </w:rPr>
            </w:pPr>
            <w:r>
              <w:rPr>
                <w:rFonts w:ascii="Arial" w:cs="Arial" w:eastAsia="Arial" w:hAnsi="Arial"/>
                <w:sz w:val="18"/>
                <w:szCs w:val="18"/>
                <w:color w:val="auto"/>
              </w:rPr>
              <w:t>Cash paid for income taxes, net of refunds</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gridSpan w:val="5"/>
          </w:tcPr>
          <w:p>
            <w:pPr>
              <w:ind w:left="266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-1285875</wp:posOffset>
            </wp:positionV>
            <wp:extent cx="63093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-737235</wp:posOffset>
            </wp:positionV>
            <wp:extent cx="6309360"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9360" cy="1111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-402590</wp:posOffset>
            </wp:positionV>
            <wp:extent cx="63093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-1011555</wp:posOffset>
            </wp:positionV>
            <wp:extent cx="630936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93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5,557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6,621</w:t>
            </w:r>
          </w:p>
        </w:tc>
      </w:tr>
      <w:tr>
        <w:trPr>
          <w:trHeight w:val="230"/>
        </w:trPr>
        <w:tc>
          <w:tcPr>
            <w:tcW w:w="600" w:type="dxa"/>
            <w:vAlign w:val="bottom"/>
          </w:tcPr>
          <w:p>
            <w:pPr>
              <w:jc w:val="right"/>
              <w:ind w:right="90"/>
              <w:spacing w:after="0"/>
              <w:rPr>
                <w:sz w:val="20"/>
                <w:szCs w:val="20"/>
                <w:color w:val="auto"/>
              </w:rPr>
            </w:pPr>
            <w:r>
              <w:rPr>
                <w:rFonts w:ascii="Arial" w:cs="Arial" w:eastAsia="Arial" w:hAnsi="Arial"/>
                <w:sz w:val="18"/>
                <w:szCs w:val="18"/>
                <w:color w:val="auto"/>
              </w:rPr>
              <w:t>825</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r>
      <w:tr>
        <w:trPr>
          <w:trHeight w:val="217"/>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6,382</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r>
      <w:tr>
        <w:trPr>
          <w:trHeight w:val="688"/>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3,974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2,625</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1,822</w:t>
            </w:r>
          </w:p>
        </w:tc>
      </w:tr>
      <w:tr>
        <w:trPr>
          <w:trHeight w:val="230"/>
        </w:trPr>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1,507</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7,603</w:t>
            </w:r>
          </w:p>
        </w:tc>
      </w:tr>
    </w:tbl>
    <w:p>
      <w:pPr>
        <w:spacing w:after="0" w:line="403" w:lineRule="exact"/>
        <w:rPr>
          <w:sz w:val="20"/>
          <w:szCs w:val="20"/>
          <w:color w:val="auto"/>
        </w:rPr>
      </w:pPr>
    </w:p>
    <w:p>
      <w:pPr>
        <w:sectPr>
          <w:pgSz w:w="11900" w:h="16838" w:orient="portrait"/>
          <w:cols w:equalWidth="0" w:num="2">
            <w:col w:w="7440" w:space="660"/>
            <w:col w:w="1840"/>
          </w:cols>
          <w:pgMar w:left="980" w:top="96" w:right="97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67945</wp:posOffset>
            </wp:positionV>
            <wp:extent cx="635190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w:t>
      </w:r>
    </w:p>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Natural stone products include marble, travertine, granite, quartz, sandstone, slate, and onyx tiles. Man-made products include ceramic, porcelain, glass, cement, wood look, and metal tiles.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of December 31, 2019, the Company operated 142 stores in 31 states and the District of Columbia, with an average size of approximately 20,000 square feet. The Company also has a sourcing office located in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13, “New Markets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accounting for leases, valuation of inventory, and income taxes. Actual results may differ from these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The Company had cash and cash equivalents of $9.1 million and $5.6 million at December 31, 2019 and 2018, respectively. The Company considers all highly liquid investments with a maturity date of three months or less when purchased to be cash equivalents. The Company accepts a range of debit and credit cards, and these transactions are generally transmitted to a bank for reimbursement within</w:t>
      </w:r>
    </w:p>
    <w:p>
      <w:pPr>
        <w:spacing w:after="0" w:line="2" w:lineRule="exact"/>
        <w:rPr>
          <w:sz w:val="20"/>
          <w:szCs w:val="20"/>
          <w:color w:val="auto"/>
        </w:rPr>
      </w:pPr>
    </w:p>
    <w:p>
      <w:pPr>
        <w:jc w:val="both"/>
        <w:ind w:right="80"/>
        <w:spacing w:after="0" w:line="214" w:lineRule="auto"/>
        <w:rPr>
          <w:sz w:val="20"/>
          <w:szCs w:val="20"/>
          <w:color w:val="auto"/>
        </w:rPr>
      </w:pPr>
      <w:r>
        <w:rPr>
          <w:rFonts w:ascii="Arial" w:cs="Arial" w:eastAsia="Arial" w:hAnsi="Arial"/>
          <w:sz w:val="18"/>
          <w:szCs w:val="18"/>
          <w:color w:val="auto"/>
        </w:rPr>
        <w:t>24 hours. The payments due from the banks for these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$1.5 million and $0.8 million at December 31,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Cash and cash equivalents that are restricted as to withdrawal or are under the terms of use for current operations are included in the restricted balance on the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48" w:lineRule="exact"/>
        <w:rPr>
          <w:sz w:val="20"/>
          <w:szCs w:val="20"/>
          <w:color w:val="auto"/>
        </w:rPr>
      </w:pPr>
    </w:p>
    <w:p>
      <w:pPr>
        <w:ind w:right="380"/>
        <w:spacing w:after="0" w:line="228" w:lineRule="auto"/>
        <w:rPr>
          <w:sz w:val="20"/>
          <w:szCs w:val="20"/>
          <w:color w:val="auto"/>
        </w:rPr>
      </w:pPr>
      <w:r>
        <w:rPr>
          <w:rFonts w:ascii="Arial" w:cs="Arial" w:eastAsia="Arial" w:hAnsi="Arial"/>
          <w:sz w:val="17"/>
          <w:szCs w:val="17"/>
          <w:color w:val="auto"/>
        </w:rPr>
        <w:t>Trade receivables are carried at original invoice amount less an estimate made for doubtful accounts. Management determines the allowance for doubtful accounts on a specific identification basis as well as by using historical experience applied to an aging of accounts. Trade receivables are written off when deemed uncollectible. Recoveries of trade receivables previously written off are recorded when received. The allowance for doubtful accounts was $0.3 million and $0.1 million as of December 31, 2019 and 2018, respectively. The Company does not accrue interest on accounts receivable.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96" w:right="10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The Company’s inventory consists of manufactured items and purchased merchandise held for resale. Inventories are stated at the lower of cost (determined using the weighted-average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comprised of the following as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09"/>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color w:val="auto"/>
              </w:rPr>
              <w:t>(in thousands)</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107,981</w:t>
            </w:r>
          </w:p>
        </w:tc>
      </w:tr>
      <w:tr>
        <w:trPr>
          <w:trHeight w:val="22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r>
      <w:tr>
        <w:trPr>
          <w:trHeight w:val="21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110,095</w:t>
            </w:r>
          </w:p>
        </w:tc>
      </w:tr>
    </w:tbl>
    <w:p>
      <w:pPr>
        <w:spacing w:after="0" w:line="148"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$0.2 million and $0.3 million as of December 31, 2019 and 2018,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21" w:lineRule="exact"/>
        <w:rPr>
          <w:sz w:val="20"/>
          <w:szCs w:val="20"/>
          <w:color w:val="auto"/>
        </w:rPr>
      </w:pPr>
    </w:p>
    <w:p>
      <w:pPr>
        <w:jc w:val="both"/>
        <w:ind w:right="440"/>
        <w:spacing w:after="0" w:line="22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December 31, 2019 and 2018, the Company has not recognized any liabilities for uncertain tax positions nor has the Company accrued interest and penalties related to uncertain tax positions.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 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20" w:lineRule="exact"/>
        <w:rPr>
          <w:sz w:val="20"/>
          <w:szCs w:val="20"/>
          <w:color w:val="auto"/>
        </w:rPr>
      </w:pPr>
    </w:p>
    <w:p>
      <w:pPr>
        <w:jc w:val="both"/>
        <w:ind w:right="120"/>
        <w:spacing w:after="0" w:line="289" w:lineRule="auto"/>
        <w:rPr>
          <w:sz w:val="20"/>
          <w:szCs w:val="20"/>
          <w:color w:val="auto"/>
        </w:rPr>
      </w:pPr>
      <w:r>
        <w:rPr>
          <w:rFonts w:ascii="Arial" w:cs="Arial" w:eastAsia="Arial" w:hAnsi="Arial"/>
          <w:sz w:val="16"/>
          <w:szCs w:val="16"/>
          <w:color w:val="auto"/>
        </w:rPr>
        <w:t>The Company generally requires customers to pay a deposit when purchasing inventory that is not regularly carried at the store location, or not currently in stock. These deposits are included in other accrued liabilities until the customer takes possession of the merchandise.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48"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three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costs classified in each major expense category 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135" w:lineRule="exact"/>
        <w:rPr>
          <w:sz w:val="20"/>
          <w:szCs w:val="20"/>
          <w:color w:val="auto"/>
        </w:rPr>
      </w:pPr>
    </w:p>
    <w:p>
      <w:pPr>
        <w:ind w:left="640" w:hanging="320"/>
        <w:spacing w:after="0"/>
        <w:tabs>
          <w:tab w:leader="none" w:pos="64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Materials cost;</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Shipping and transportation expenses to bring products into the Company's distribution centers;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Custom and duty expenses;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Customer shipping and handling expenses;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Physical inventory losses;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Costs incurred at distribution centers in connection with the receiving process;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8"/>
        </w:numPr>
        <w:rPr>
          <w:rFonts w:ascii="Arial" w:cs="Arial" w:eastAsia="Arial" w:hAnsi="Arial"/>
          <w:sz w:val="24"/>
          <w:szCs w:val="24"/>
          <w:color w:val="auto"/>
          <w:vertAlign w:val="superscript"/>
        </w:rPr>
      </w:pPr>
      <w:r>
        <w:rPr>
          <w:rFonts w:ascii="Arial" w:cs="Arial" w:eastAsia="Arial" w:hAnsi="Arial"/>
          <w:sz w:val="15"/>
          <w:szCs w:val="15"/>
          <w:color w:val="auto"/>
        </w:rPr>
        <w:t>Labor and overhead costs incurred to manufacture inventory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Expenses</w:t>
      </w:r>
    </w:p>
    <w:p>
      <w:pPr>
        <w:spacing w:after="0" w:line="119" w:lineRule="exact"/>
        <w:rPr>
          <w:sz w:val="20"/>
          <w:szCs w:val="20"/>
          <w:color w:val="auto"/>
        </w:rPr>
      </w:pPr>
    </w:p>
    <w:p>
      <w:pPr>
        <w:ind w:left="640" w:hanging="320"/>
        <w:spacing w:after="0"/>
        <w:tabs>
          <w:tab w:leader="none" w:pos="64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All compensation costs for store, corporate and distribution employees;</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Occupancy, utilities and maintenance costs of store and corporate facilities;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Shipping and transportation expenses to move inventory from the Company's distribution centers to the Company's stores;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Depreciation and amortization;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9"/>
        </w:numPr>
        <w:rPr>
          <w:rFonts w:ascii="Arial" w:cs="Arial" w:eastAsia="Arial" w:hAnsi="Arial"/>
          <w:sz w:val="24"/>
          <w:szCs w:val="24"/>
          <w:color w:val="auto"/>
          <w:vertAlign w:val="superscript"/>
        </w:rPr>
      </w:pPr>
      <w:r>
        <w:rPr>
          <w:rFonts w:ascii="Arial" w:cs="Arial" w:eastAsia="Arial" w:hAnsi="Arial"/>
          <w:sz w:val="15"/>
          <w:szCs w:val="15"/>
          <w:color w:val="auto"/>
        </w:rPr>
        <w:t>Advertising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targets. The Company adjusts the cumulative expense recognized on awards with performance conditions based on a probability of achieving the performance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48" w:lineRule="exact"/>
        <w:rPr>
          <w:sz w:val="20"/>
          <w:szCs w:val="20"/>
          <w:color w:val="auto"/>
        </w:rPr>
      </w:pPr>
    </w:p>
    <w:p>
      <w:pPr>
        <w:ind w:right="280"/>
        <w:spacing w:after="0" w:line="21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jc w:val="both"/>
        <w:ind w:right="200"/>
        <w:spacing w:after="0" w:line="237" w:lineRule="auto"/>
        <w:rPr>
          <w:sz w:val="20"/>
          <w:szCs w:val="20"/>
          <w:color w:val="auto"/>
        </w:rPr>
      </w:pPr>
      <w:r>
        <w:rPr>
          <w:rFonts w:ascii="Arial" w:cs="Arial" w:eastAsia="Arial" w:hAnsi="Arial"/>
          <w:sz w:val="17"/>
          <w:szCs w:val="17"/>
          <w:color w:val="auto"/>
        </w:rPr>
        <w:t>The Company’s operations consist primarily of retail sales of natural stone and man-made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48"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Advertising costs were $9.2 million, $8.3 million and $9.5 million for the years ended December 31, 2019, 2018 and 2017, respectively, and are included in selling, general and administrative expenses in the consolidated statements of operations. The Company’s advertising consists primarily of digital media, direct marketing, events and traditional print media that is expensed at the time the media is distributed.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00"/>
          </w:cols>
          <w:pgMar w:left="980" w:top="96" w:right="10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48"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the years ended December 31, 2019, 2018 and 2017, the Company reported pre-opening costs of $0.6 million, $0.1 million and $1.7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48" w:lineRule="exact"/>
        <w:rPr>
          <w:sz w:val="20"/>
          <w:szCs w:val="20"/>
          <w:color w:val="auto"/>
        </w:rPr>
      </w:pPr>
    </w:p>
    <w:p>
      <w:pPr>
        <w:ind w:right="220"/>
        <w:spacing w:after="0" w:line="214" w:lineRule="auto"/>
        <w:rPr>
          <w:sz w:val="20"/>
          <w:szCs w:val="20"/>
          <w:color w:val="auto"/>
        </w:rPr>
      </w:pPr>
      <w:r>
        <w:rPr>
          <w:rFonts w:ascii="Arial" w:cs="Arial" w:eastAsia="Arial" w:hAnsi="Arial"/>
          <w:sz w:val="18"/>
          <w:szCs w:val="18"/>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 asset. The cost and accumulated depreciation of assets sold or otherwise disposed of are removed from the accounts and any gain or loss thereon is included in other income and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2"/>
              </w:rPr>
              <w:t>Asset life (in years)</w:t>
            </w:r>
          </w:p>
        </w:tc>
      </w:tr>
      <w:tr>
        <w:trPr>
          <w:trHeight w:val="169"/>
        </w:trPr>
        <w:tc>
          <w:tcPr>
            <w:tcW w:w="848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Buildings and building improvements</w:t>
            </w:r>
          </w:p>
        </w:tc>
        <w:tc>
          <w:tcPr>
            <w:tcW w:w="46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40</w:t>
            </w:r>
          </w:p>
        </w:tc>
        <w:tc>
          <w:tcPr>
            <w:tcW w:w="500" w:type="dxa"/>
            <w:vAlign w:val="bottom"/>
            <w:shd w:val="clear" w:color="auto" w:fill="CCEEFF"/>
          </w:tcPr>
          <w:p>
            <w:pPr>
              <w:spacing w:after="0"/>
              <w:rPr>
                <w:sz w:val="14"/>
                <w:szCs w:val="14"/>
                <w:color w:val="auto"/>
              </w:rPr>
            </w:pPr>
          </w:p>
        </w:tc>
      </w:tr>
      <w:tr>
        <w:trPr>
          <w:trHeight w:val="175"/>
        </w:trPr>
        <w:tc>
          <w:tcPr>
            <w:tcW w:w="848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460" w:type="dxa"/>
            <w:vAlign w:val="bottom"/>
          </w:tcPr>
          <w:p>
            <w:pPr>
              <w:jc w:val="right"/>
              <w:ind w:right="90"/>
              <w:spacing w:after="0" w:line="176" w:lineRule="exact"/>
              <w:rPr>
                <w:sz w:val="20"/>
                <w:szCs w:val="20"/>
                <w:color w:val="auto"/>
              </w:rPr>
            </w:pPr>
            <w:r>
              <w:rPr>
                <w:rFonts w:ascii="Arial" w:cs="Arial" w:eastAsia="Arial" w:hAnsi="Arial"/>
                <w:sz w:val="18"/>
                <w:szCs w:val="18"/>
                <w:color w:val="auto"/>
              </w:rPr>
              <w:t>8</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176"/>
        </w:trPr>
        <w:tc>
          <w:tcPr>
            <w:tcW w:w="8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46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175"/>
        </w:trPr>
        <w:tc>
          <w:tcPr>
            <w:tcW w:w="8480" w:type="dxa"/>
            <w:vAlign w:val="bottom"/>
          </w:tcPr>
          <w:p>
            <w:pPr>
              <w:spacing w:after="0" w:line="176" w:lineRule="exact"/>
              <w:rPr>
                <w:sz w:val="20"/>
                <w:szCs w:val="20"/>
                <w:color w:val="auto"/>
              </w:rPr>
            </w:pPr>
            <w:r>
              <w:rPr>
                <w:rFonts w:ascii="Arial" w:cs="Arial" w:eastAsia="Arial" w:hAnsi="Arial"/>
                <w:sz w:val="18"/>
                <w:szCs w:val="18"/>
                <w:color w:val="auto"/>
              </w:rPr>
              <w:t>Machinery and equipment</w:t>
            </w:r>
          </w:p>
        </w:tc>
        <w:tc>
          <w:tcPr>
            <w:tcW w:w="460" w:type="dxa"/>
            <w:vAlign w:val="bottom"/>
          </w:tcPr>
          <w:p>
            <w:pPr>
              <w:jc w:val="right"/>
              <w:ind w:right="90"/>
              <w:spacing w:after="0" w:line="176" w:lineRule="exact"/>
              <w:rPr>
                <w:sz w:val="20"/>
                <w:szCs w:val="20"/>
                <w:color w:val="auto"/>
              </w:rPr>
            </w:pPr>
            <w:r>
              <w:rPr>
                <w:rFonts w:ascii="Arial" w:cs="Arial" w:eastAsia="Arial" w:hAnsi="Arial"/>
                <w:sz w:val="18"/>
                <w:szCs w:val="18"/>
                <w:color w:val="auto"/>
              </w:rPr>
              <w:t>5</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8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Computer equipment and software</w:t>
            </w:r>
          </w:p>
        </w:tc>
        <w:tc>
          <w:tcPr>
            <w:tcW w:w="46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Vehicles</w:t>
            </w:r>
          </w:p>
        </w:tc>
        <w:tc>
          <w:tcPr>
            <w:tcW w:w="4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00" w:type="dxa"/>
            <w:vAlign w:val="bottom"/>
          </w:tcPr>
          <w:p>
            <w:pPr>
              <w:spacing w:after="0"/>
              <w:rPr>
                <w:sz w:val="20"/>
                <w:szCs w:val="20"/>
                <w:color w:val="auto"/>
              </w:rPr>
            </w:pPr>
          </w:p>
        </w:tc>
      </w:tr>
    </w:tbl>
    <w:p>
      <w:pPr>
        <w:spacing w:after="0" w:line="93" w:lineRule="exact"/>
        <w:rPr>
          <w:sz w:val="20"/>
          <w:szCs w:val="20"/>
          <w:color w:val="auto"/>
        </w:rPr>
      </w:pPr>
    </w:p>
    <w:p>
      <w:pPr>
        <w:jc w:val="both"/>
        <w:ind w:right="80"/>
        <w:spacing w:after="0" w:line="234" w:lineRule="auto"/>
        <w:rPr>
          <w:sz w:val="20"/>
          <w:szCs w:val="20"/>
          <w:color w:val="auto"/>
        </w:rPr>
      </w:pPr>
      <w:r>
        <w:rPr>
          <w:rFonts w:ascii="Arial" w:cs="Arial" w:eastAsia="Arial" w:hAnsi="Arial"/>
          <w:sz w:val="16"/>
          <w:szCs w:val="16"/>
          <w:color w:val="auto"/>
        </w:rPr>
        <w:t>The Company evaluates potential impairment losses on long-lived assets used in operations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difference between the carrying value and fair value of the</w:t>
      </w:r>
    </w:p>
    <w:p>
      <w:pPr>
        <w:jc w:val="both"/>
        <w:ind w:right="40"/>
        <w:spacing w:after="0" w:line="218" w:lineRule="auto"/>
        <w:rPr>
          <w:sz w:val="20"/>
          <w:szCs w:val="20"/>
          <w:color w:val="auto"/>
        </w:rPr>
      </w:pPr>
      <w:r>
        <w:rPr>
          <w:rFonts w:ascii="Arial" w:cs="Arial" w:eastAsia="Arial" w:hAnsi="Arial"/>
          <w:sz w:val="18"/>
          <w:szCs w:val="18"/>
          <w:color w:val="auto"/>
        </w:rPr>
        <w:t>assets. During the fiscal years ended December 31, 2018 and 2017, the Company recorded asset impairment charges of $0.7 million and $1.1 million, which were classified in selling, general and administrative expenses. No impairment charges were recorded during the year ended December 31,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considerable judgment by management with respect to certain external factors, including, but not limited to, technological and economic feasibility, and estimated economic life. As of December 31, 2019 and 2018, $11.1 million and $3.2 million was included in computer equipment and software, respectively. The internal use software costs are amortized over estimated useful lives of three to seven years. There was $1.6 million, $0.3 million and $0.2 million of amortization expense related to capitalized software during the years ended December 31, 2019, 2018 and 2017,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excludes lease incentives and initial direct costs incurred. The Company’s lease terms may include options to extend or terminate the lease typically at its own discretion. The Company regularly evaluates the renewal options and when they are reasonably certain of exercise, the Company includes the renewal period in its lease term.</w:t>
      </w:r>
    </w:p>
    <w:p>
      <w:pPr>
        <w:spacing w:after="0" w:line="12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Certain lease arrangements contain provisions requiring the Company to restore the leased property to its original condition at the end of the lease. The fair values of these obligations are recorded as liabilities on a discounted basis, which occurs at the time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280"/>
        <w:spacing w:after="0" w:line="228" w:lineRule="auto"/>
        <w:rPr>
          <w:sz w:val="20"/>
          <w:szCs w:val="20"/>
          <w:color w:val="auto"/>
        </w:rPr>
      </w:pPr>
      <w:r>
        <w:rPr>
          <w:rFonts w:ascii="Arial" w:cs="Arial" w:eastAsia="Arial" w:hAnsi="Arial"/>
          <w:sz w:val="17"/>
          <w:szCs w:val="17"/>
          <w:color w:val="auto"/>
        </w:rPr>
        <w:t>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were $1.9 million and $1.5 million as of December 31, 2019 and 2018, respectively, and are included in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48"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2019 and 2018, an accrual of $0.6 million related to estimated employee health claims was included in other current liabilities. As of December 31, 2019 and 2018, an accrual of $1.9 million and $1.6 million related to estimated workers’ compensation claims was included in other current liabilities, respectively.</w:t>
      </w:r>
    </w:p>
    <w:p>
      <w:pPr>
        <w:spacing w:after="0" w:line="12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Company has standby letters of credit outstanding related to the Company's workers’ compensation and employee health insurance policies. As of December 31, 2019 and 2018, the standby letters of credit totaled $1.3 million and $1.1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February 2016, the Financial Accounting Standards Board (the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2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This standard provides a number of optional practical expedients in transition. The Company elected the package of three practical expedients permitted under the transition guidance within this standard, which among other things, allows the Company to carryforward the historical lease classification. The Company did not separate non-lease components from lease components by class of underlying assets and the Company did not apply the recognition requirements of the standard to short-term leases, as allowed by the standard.</w:t>
      </w:r>
    </w:p>
    <w:p>
      <w:pPr>
        <w:spacing w:after="0" w:line="11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The Company also elected to apply the hindsight practical expedient. The election of the hindsight practical expedient resulted in the shortening of lease terms for certain existing leases and the useful lives of corresponding leasehold improvements. In the application of the hindsight practical expedient, the Company considered recent investments in leased properties and the overall real estate strategy, which resulted in the determination that most renewal options would not be reasonably certain in determining the expected lease term.</w:t>
      </w:r>
    </w:p>
    <w:p>
      <w:pPr>
        <w:spacing w:after="0" w:line="114"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Upon adopting this standard, the Company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 deferred tax assets and a corresponding adjustment to retained earnings. The adoption of this standard did not have a material impact on net income or cash flows for the year ended December 31, 2019. See Note 7 for further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In June 2016, the FASB issued a final standard on accounting for credit losses. The new standard was initially effective for the Company in fiscal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 to fiscal years beginning after December 15, 2022, including interim periods within those years. Early adoption is permitted. The Company intends to early adopt the standard effective January 1, 2020. The Company has evaluated the effect of the new standard on its consolidated financial statements and related disclosures, and has determined the impact will be immaterial.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96"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30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the fiscal years, and interim periods within those fiscal years, beginning after December 15, 2019. The standard will become effective for the Company at the beginning of its fiscal year 2020. The Company has evaluated the effect of the standard on its consolidated financial statements and related disclosures, and has determined the impact will be immaterial.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48"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On January 1, 2018, the Company adopted Accounting Standards Update No. 2014-09 (Topic 606), “Revenue from Contracts with Customers,” using the modified retrospective method applied to those contracts that were not completed as of January 1, 2018. Results for reporting periods beginning after January 1, 2018 are presented under Topic 606, while prior period amounts are not adjusted and continue to be reported in accordance with the Company’s historic accounting under Topic 605. The adoption of Topic 606 had a cumulative impact adjustment to opening retained earnings of $0.1 million as of January 1, 2018 and did not have an impact on revenues recognized for the year ended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4040" w:type="dxa"/>
            <w:vAlign w:val="bottom"/>
            <w:gridSpan w:val="3"/>
          </w:tcPr>
          <w:p>
            <w:pPr>
              <w:ind w:left="1900"/>
              <w:spacing w:after="0"/>
              <w:rPr>
                <w:sz w:val="20"/>
                <w:szCs w:val="20"/>
                <w:color w:val="auto"/>
              </w:rPr>
            </w:pPr>
            <w:r>
              <w:rPr>
                <w:rFonts w:ascii="Arial" w:cs="Arial" w:eastAsia="Arial" w:hAnsi="Arial"/>
                <w:sz w:val="18"/>
                <w:szCs w:val="18"/>
                <w:color w:val="auto"/>
                <w:w w:val="95"/>
              </w:rPr>
              <w:t>Years Ended December 31,</w:t>
            </w:r>
          </w:p>
        </w:tc>
        <w:tc>
          <w:tcPr>
            <w:tcW w:w="1740" w:type="dxa"/>
            <w:vAlign w:val="bottom"/>
            <w:vMerge w:val="restart"/>
          </w:tcPr>
          <w:p>
            <w:pPr>
              <w:jc w:val="right"/>
              <w:ind w:right="11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right"/>
              <w:ind w:right="1090"/>
              <w:spacing w:after="0" w:line="202" w:lineRule="exact"/>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47 %</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Natural stone tiles</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Accessories</w:t>
            </w:r>
          </w:p>
        </w:tc>
        <w:tc>
          <w:tcPr>
            <w:tcW w:w="270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2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160" w:type="dxa"/>
            <w:vAlign w:val="bottom"/>
          </w:tcPr>
          <w:p>
            <w:pPr>
              <w:spacing w:after="0"/>
              <w:rPr>
                <w:sz w:val="18"/>
                <w:szCs w:val="18"/>
                <w:color w:val="auto"/>
              </w:rPr>
            </w:pPr>
          </w:p>
        </w:tc>
        <w:tc>
          <w:tcPr>
            <w:tcW w:w="2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c>
          <w:tcPr>
            <w:tcW w:w="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380"/>
        <w:spacing w:after="0" w:line="22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217" w:lineRule="exact"/>
        <w:rPr>
          <w:sz w:val="20"/>
          <w:szCs w:val="20"/>
          <w:color w:val="auto"/>
        </w:rPr>
      </w:pPr>
    </w:p>
    <w:p>
      <w:pPr>
        <w:jc w:val="both"/>
        <w:ind w:left="640" w:right="640" w:hanging="320"/>
        <w:spacing w:after="0" w:line="201" w:lineRule="auto"/>
        <w:tabs>
          <w:tab w:leader="none" w:pos="64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41" w:lineRule="exact"/>
        <w:rPr>
          <w:rFonts w:ascii="Arial" w:cs="Arial" w:eastAsia="Arial" w:hAnsi="Arial"/>
          <w:sz w:val="26"/>
          <w:szCs w:val="26"/>
          <w:color w:val="auto"/>
          <w:vertAlign w:val="superscript"/>
        </w:rPr>
      </w:pPr>
    </w:p>
    <w:p>
      <w:pPr>
        <w:ind w:left="640" w:right="260" w:hanging="320"/>
        <w:spacing w:after="0" w:line="199" w:lineRule="auto"/>
        <w:tabs>
          <w:tab w:leader="none" w:pos="640" w:val="left"/>
        </w:tabs>
        <w:numPr>
          <w:ilvl w:val="0"/>
          <w:numId w:val="30"/>
        </w:numPr>
        <w:rPr>
          <w:rFonts w:ascii="Arial" w:cs="Arial" w:eastAsia="Arial" w:hAnsi="Arial"/>
          <w:sz w:val="28"/>
          <w:szCs w:val="28"/>
          <w:color w:val="auto"/>
          <w:vertAlign w:val="superscript"/>
        </w:rPr>
      </w:pPr>
      <w:r>
        <w:rPr>
          <w:rFonts w:ascii="Arial" w:cs="Arial" w:eastAsia="Arial" w:hAnsi="Arial"/>
          <w:sz w:val="17"/>
          <w:szCs w:val="17"/>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43" w:lineRule="exact"/>
        <w:rPr>
          <w:rFonts w:ascii="Arial" w:cs="Arial" w:eastAsia="Arial" w:hAnsi="Arial"/>
          <w:sz w:val="28"/>
          <w:szCs w:val="28"/>
          <w:color w:val="auto"/>
          <w:vertAlign w:val="superscript"/>
        </w:rPr>
      </w:pPr>
    </w:p>
    <w:p>
      <w:pPr>
        <w:ind w:left="640" w:right="40" w:hanging="320"/>
        <w:spacing w:after="0" w:line="186" w:lineRule="auto"/>
        <w:tabs>
          <w:tab w:leader="none" w:pos="64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determines the transaction price of its contracts based on the pricing established at the time a customer places an</w:t>
      </w:r>
    </w:p>
    <w:p>
      <w:pPr>
        <w:spacing w:after="0" w:line="215" w:lineRule="auto"/>
        <w:rPr>
          <w:sz w:val="20"/>
          <w:szCs w:val="20"/>
          <w:color w:val="auto"/>
        </w:rPr>
      </w:pPr>
      <w:r>
        <w:rPr>
          <w:rFonts w:ascii="Arial" w:cs="Arial" w:eastAsia="Arial" w:hAnsi="Arial"/>
          <w:sz w:val="17"/>
          <w:szCs w:val="17"/>
          <w:color w:val="auto"/>
        </w:rPr>
        <w:t>order. The transaction price does not include sales tax as the Company is a pass-through conduit for collecting and remitting sales</w:t>
      </w:r>
    </w:p>
    <w:p>
      <w:pPr>
        <w:spacing w:after="0" w:line="229" w:lineRule="auto"/>
        <w:rPr>
          <w:sz w:val="20"/>
          <w:szCs w:val="20"/>
          <w:color w:val="auto"/>
        </w:rPr>
      </w:pPr>
      <w:r>
        <w:rPr>
          <w:rFonts w:ascii="Arial" w:cs="Arial" w:eastAsia="Arial" w:hAnsi="Arial"/>
          <w:sz w:val="16"/>
          <w:szCs w:val="16"/>
          <w:color w:val="auto"/>
        </w:rPr>
        <w:t>tax. Any discounts applied to an order are allocated proportionately to the base price of the goods and services ordered. Deposits made</w:t>
      </w:r>
    </w:p>
    <w:p>
      <w:pPr>
        <w:spacing w:after="0" w:line="229" w:lineRule="auto"/>
        <w:rPr>
          <w:sz w:val="20"/>
          <w:szCs w:val="20"/>
          <w:color w:val="auto"/>
        </w:rPr>
      </w:pPr>
      <w:r>
        <w:rPr>
          <w:rFonts w:ascii="Arial" w:cs="Arial" w:eastAsia="Arial" w:hAnsi="Arial"/>
          <w:sz w:val="16"/>
          <w:szCs w:val="16"/>
          <w:color w:val="auto"/>
        </w:rPr>
        <w:t>by customers are recorded in other accrued liabilities. Deferred revenues associated with customer deposits are recognized at the time the</w:t>
      </w:r>
    </w:p>
    <w:p>
      <w:pPr>
        <w:spacing w:after="0" w:line="229" w:lineRule="auto"/>
        <w:rPr>
          <w:sz w:val="20"/>
          <w:szCs w:val="20"/>
          <w:color w:val="auto"/>
        </w:rPr>
      </w:pPr>
      <w:r>
        <w:rPr>
          <w:rFonts w:ascii="Arial" w:cs="Arial" w:eastAsia="Arial" w:hAnsi="Arial"/>
          <w:sz w:val="16"/>
          <w:szCs w:val="16"/>
          <w:color w:val="auto"/>
        </w:rPr>
        <w:t>Company transfers control of the items ordered or renders the delivery service. In the event an order is partially fulfilled as of the end of a</w:t>
      </w:r>
    </w:p>
    <w:p>
      <w:pPr>
        <w:spacing w:after="0" w:line="229" w:lineRule="auto"/>
        <w:rPr>
          <w:sz w:val="20"/>
          <w:szCs w:val="20"/>
          <w:color w:val="auto"/>
        </w:rPr>
      </w:pPr>
      <w:r>
        <w:rPr>
          <w:rFonts w:ascii="Arial" w:cs="Arial" w:eastAsia="Arial" w:hAnsi="Arial"/>
          <w:sz w:val="16"/>
          <w:szCs w:val="16"/>
          <w:color w:val="auto"/>
        </w:rPr>
        <w:t>reporting period, revenue will be recognized based on the transaction price allocated to the goods delivered and services rendered. The</w:t>
      </w:r>
    </w:p>
    <w:p>
      <w:pPr>
        <w:spacing w:after="0"/>
        <w:rPr>
          <w:sz w:val="20"/>
          <w:szCs w:val="20"/>
          <w:color w:val="auto"/>
        </w:rPr>
      </w:pPr>
      <w:r>
        <w:rPr>
          <w:rFonts w:ascii="Arial" w:cs="Arial" w:eastAsia="Arial" w:hAnsi="Arial"/>
          <w:sz w:val="18"/>
          <w:szCs w:val="18"/>
          <w:color w:val="auto"/>
        </w:rPr>
        <w:t>customer deposit balance was $7.7 million and $7.4 million as of December 31, 2019 and 2018, respectively. Revenues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recognized during the year ended December 31, 2019 included in the customer deposit balance as of the beginning of the period were $7.4 million.</w:t>
      </w:r>
    </w:p>
    <w:p>
      <w:pPr>
        <w:spacing w:after="0" w:line="12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Company extends financing to qualified professional customers who apply for credit. The accounts receivable balance was $3.4 million and $3.1 million as of December 31, 2019 and 2018,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2019 and 2018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ind w:left="680"/>
              <w:spacing w:after="0"/>
              <w:rPr>
                <w:sz w:val="20"/>
                <w:szCs w:val="20"/>
                <w:color w:val="auto"/>
              </w:rPr>
            </w:pPr>
            <w:r>
              <w:rPr>
                <w:rFonts w:ascii="Arial" w:cs="Arial" w:eastAsia="Arial" w:hAnsi="Arial"/>
                <w:sz w:val="18"/>
                <w:szCs w:val="18"/>
                <w:color w:val="auto"/>
              </w:rPr>
              <w:t>(in thousands)</w:t>
            </w:r>
          </w:p>
        </w:tc>
      </w:tr>
      <w:tr>
        <w:trPr>
          <w:trHeight w:val="230"/>
        </w:trPr>
        <w:tc>
          <w:tcPr>
            <w:tcW w:w="7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86"/>
              </w:rPr>
              <w:t>December 31,</w:t>
            </w:r>
          </w:p>
        </w:tc>
      </w:tr>
      <w:tr>
        <w:trPr>
          <w:trHeight w:val="203"/>
        </w:trPr>
        <w:tc>
          <w:tcPr>
            <w:tcW w:w="7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2018</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5,434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2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3"/>
              </w:rPr>
              <w:t>1,659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r>
      <w:tr>
        <w:trPr>
          <w:trHeight w:val="21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3"/>
              </w:rPr>
              <w:t>3,775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r>
    </w:tbl>
    <w:p>
      <w:pPr>
        <w:spacing w:after="0" w:line="157" w:lineRule="exact"/>
        <w:rPr>
          <w:sz w:val="20"/>
          <w:szCs w:val="20"/>
          <w:color w:val="auto"/>
        </w:rPr>
      </w:pPr>
    </w:p>
    <w:p>
      <w:pPr>
        <w:sectPr>
          <w:pgSz w:w="11900" w:h="16838" w:orient="portrait"/>
          <w:cols w:equalWidth="0" w:num="1">
            <w:col w:w="9940"/>
          </w:cols>
          <w:pgMar w:left="980" w:top="96" w:right="979" w:bottom="1440" w:gutter="0" w:footer="0" w:header="0"/>
        </w:sectPr>
      </w:pPr>
    </w:p>
    <w:p>
      <w:pPr>
        <w:spacing w:after="0"/>
        <w:rPr>
          <w:sz w:val="20"/>
          <w:szCs w:val="20"/>
          <w:color w:val="auto"/>
        </w:rPr>
      </w:pPr>
      <w:r>
        <w:rPr>
          <w:rFonts w:ascii="Arial" w:cs="Arial" w:eastAsia="Arial" w:hAnsi="Arial"/>
          <w:sz w:val="18"/>
          <w:szCs w:val="18"/>
          <w:b w:val="1"/>
          <w:bCs w:val="1"/>
          <w:color w:val="auto"/>
        </w:rPr>
        <w:t>Note 3: Property Plant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586740</wp:posOffset>
            </wp:positionV>
            <wp:extent cx="63093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93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93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93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Vehicles</w:t>
      </w:r>
    </w:p>
    <w:p>
      <w:pPr>
        <w:spacing w:after="0" w:line="227" w:lineRule="auto"/>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155"/>
        </w:trPr>
        <w:tc>
          <w:tcPr>
            <w:tcW w:w="260" w:type="dxa"/>
            <w:vAlign w:val="bottom"/>
          </w:tcPr>
          <w:p>
            <w:pPr>
              <w:spacing w:after="0"/>
              <w:rPr>
                <w:sz w:val="13"/>
                <w:szCs w:val="13"/>
                <w:color w:val="auto"/>
              </w:rPr>
            </w:pPr>
          </w:p>
        </w:tc>
        <w:tc>
          <w:tcPr>
            <w:tcW w:w="2320" w:type="dxa"/>
            <w:vAlign w:val="bottom"/>
            <w:gridSpan w:val="3"/>
          </w:tcPr>
          <w:p>
            <w:pPr>
              <w:jc w:val="right"/>
              <w:ind w:right="690"/>
              <w:spacing w:after="0" w:line="154" w:lineRule="exact"/>
              <w:rPr>
                <w:sz w:val="20"/>
                <w:szCs w:val="20"/>
                <w:color w:val="auto"/>
              </w:rPr>
            </w:pPr>
            <w:r>
              <w:rPr>
                <w:rFonts w:ascii="Arial" w:cs="Arial" w:eastAsia="Arial" w:hAnsi="Arial"/>
                <w:sz w:val="17"/>
                <w:szCs w:val="17"/>
                <w:color w:val="auto"/>
              </w:rPr>
              <w:t>(in thousands)</w:t>
            </w:r>
          </w:p>
        </w:tc>
      </w:tr>
      <w:tr>
        <w:trPr>
          <w:trHeight w:val="21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16"/>
        </w:trPr>
        <w:tc>
          <w:tcPr>
            <w:tcW w:w="2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25,733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25,608</w:t>
            </w:r>
          </w:p>
        </w:tc>
      </w:tr>
      <w:tr>
        <w:trPr>
          <w:trHeight w:val="216"/>
        </w:trPr>
        <w:tc>
          <w:tcPr>
            <w:tcW w:w="2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97,077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88,454</w:t>
            </w:r>
          </w:p>
        </w:tc>
      </w:tr>
      <w:tr>
        <w:trPr>
          <w:trHeight w:val="216"/>
        </w:trPr>
        <w:tc>
          <w:tcPr>
            <w:tcW w:w="2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146,913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140,612</w:t>
            </w:r>
          </w:p>
        </w:tc>
      </w:tr>
      <w:tr>
        <w:trPr>
          <w:trHeight w:val="216"/>
        </w:trPr>
        <w:tc>
          <w:tcPr>
            <w:tcW w:w="2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30,420</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29,424</w:t>
            </w:r>
          </w:p>
        </w:tc>
      </w:tr>
      <w:tr>
        <w:trPr>
          <w:trHeight w:val="216"/>
        </w:trPr>
        <w:tc>
          <w:tcPr>
            <w:tcW w:w="2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45,473</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33,947</w:t>
            </w:r>
          </w:p>
        </w:tc>
      </w:tr>
      <w:tr>
        <w:trPr>
          <w:trHeight w:val="216"/>
        </w:trPr>
        <w:tc>
          <w:tcPr>
            <w:tcW w:w="2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4,722</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28"/>
        </w:trPr>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2,159</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11,089</w:t>
            </w:r>
          </w:p>
        </w:tc>
      </w:tr>
    </w:tbl>
    <w:p>
      <w:pPr>
        <w:spacing w:after="0" w:line="1" w:lineRule="exact"/>
        <w:rPr>
          <w:sz w:val="20"/>
          <w:szCs w:val="20"/>
          <w:color w:val="auto"/>
        </w:rPr>
      </w:pPr>
    </w:p>
    <w:p>
      <w:pPr>
        <w:sectPr>
          <w:pgSz w:w="11900" w:h="16838" w:orient="portrait"/>
          <w:cols w:equalWidth="0" w:num="2">
            <w:col w:w="6640" w:space="720"/>
            <w:col w:w="2580"/>
          </w:cols>
          <w:pgMar w:left="980" w:top="96" w:right="97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353,401</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334,163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(222,940)</w:t>
            </w:r>
          </w:p>
        </w:tc>
        <w:tc>
          <w:tcPr>
            <w:tcW w:w="3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color w:val="auto"/>
                <w:w w:val="93"/>
              </w:rPr>
              <w:t>(175,807)</w:t>
            </w:r>
          </w:p>
        </w:tc>
      </w:tr>
      <w:tr>
        <w:trPr>
          <w:trHeight w:val="217"/>
        </w:trPr>
        <w:tc>
          <w:tcPr>
            <w:tcW w:w="7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130,461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158,356</w:t>
            </w:r>
          </w:p>
        </w:tc>
      </w:tr>
    </w:tbl>
    <w:p>
      <w:pPr>
        <w:spacing w:after="0" w:line="148"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Depreciation expense on property and equipment, including financing leases, was $33.5 million, $28.4 million and $26.2 million for the years ended December 31, 2019, 2018 and 2017, respectively. Property, plant and equipment is measured at fair value when an impairment is recognized and the related assets are written down to fair value. During the years ended December 31, 2018 and 2017, the Company recorded asset impairment charges of $0.7 million and $1.1 million, respectively. No impairment charges were recorded during the year ended December 31, 2019.</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right"/>
        <w:ind w:right="340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6"/>
          <w:szCs w:val="16"/>
          <w:color w:val="auto"/>
        </w:rPr>
        <w:t>Notes to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Liabilities</w:t>
      </w:r>
    </w:p>
    <w:p>
      <w:pPr>
        <w:sectPr>
          <w:pgSz w:w="11900" w:h="16838" w:orient="portrait"/>
          <w:cols w:equalWidth="0" w:num="1">
            <w:col w:w="9940"/>
          </w:cols>
          <w:pgMar w:left="980" w:top="96" w:right="97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63093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Customer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return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936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wages and salaries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Payroll and sales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936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liabilities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155"/>
        </w:trPr>
        <w:tc>
          <w:tcPr>
            <w:tcW w:w="260" w:type="dxa"/>
            <w:vAlign w:val="bottom"/>
          </w:tcPr>
          <w:p>
            <w:pPr>
              <w:spacing w:after="0"/>
              <w:rPr>
                <w:sz w:val="13"/>
                <w:szCs w:val="13"/>
                <w:color w:val="auto"/>
              </w:rPr>
            </w:pPr>
          </w:p>
        </w:tc>
        <w:tc>
          <w:tcPr>
            <w:tcW w:w="2320" w:type="dxa"/>
            <w:vAlign w:val="bottom"/>
            <w:gridSpan w:val="4"/>
          </w:tcPr>
          <w:p>
            <w:pPr>
              <w:jc w:val="right"/>
              <w:ind w:right="690"/>
              <w:spacing w:after="0" w:line="154" w:lineRule="exact"/>
              <w:rPr>
                <w:sz w:val="20"/>
                <w:szCs w:val="20"/>
                <w:color w:val="auto"/>
              </w:rPr>
            </w:pPr>
            <w:r>
              <w:rPr>
                <w:rFonts w:ascii="Arial" w:cs="Arial" w:eastAsia="Arial" w:hAnsi="Arial"/>
                <w:sz w:val="17"/>
                <w:szCs w:val="17"/>
                <w:color w:val="auto"/>
              </w:rPr>
              <w:t>(in thousands)</w:t>
            </w:r>
          </w:p>
        </w:tc>
      </w:tr>
      <w:tr>
        <w:trPr>
          <w:trHeight w:val="21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7,727</w:t>
            </w:r>
          </w:p>
        </w:tc>
        <w:tc>
          <w:tcPr>
            <w:tcW w:w="1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7,383</w:t>
            </w:r>
          </w:p>
        </w:tc>
      </w:tr>
      <w:tr>
        <w:trPr>
          <w:trHeight w:val="216"/>
        </w:trPr>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5,154</w:t>
            </w:r>
          </w:p>
        </w:tc>
      </w:tr>
      <w:tr>
        <w:trPr>
          <w:trHeight w:val="216"/>
        </w:trPr>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16"/>
        </w:trPr>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2,929</w:t>
            </w:r>
          </w:p>
        </w:tc>
      </w:tr>
      <w:tr>
        <w:trPr>
          <w:trHeight w:val="230"/>
        </w:trPr>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r>
      <w:tr>
        <w:trPr>
          <w:trHeight w:val="217"/>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24,589</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24,484</w:t>
            </w:r>
          </w:p>
        </w:tc>
      </w:tr>
    </w:tbl>
    <w:p>
      <w:pPr>
        <w:spacing w:after="0" w:line="144" w:lineRule="exact"/>
        <w:rPr>
          <w:sz w:val="20"/>
          <w:szCs w:val="20"/>
          <w:color w:val="auto"/>
        </w:rPr>
      </w:pPr>
    </w:p>
    <w:p>
      <w:pPr>
        <w:sectPr>
          <w:pgSz w:w="11900" w:h="16838" w:orient="portrait"/>
          <w:cols w:equalWidth="0" w:num="2">
            <w:col w:w="6640" w:space="720"/>
            <w:col w:w="2580"/>
          </w:cols>
          <w:pgMar w:left="980" w:top="96" w:right="97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Note 5: Long-term Debt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7020" w:type="dxa"/>
            <w:vAlign w:val="bottom"/>
          </w:tcPr>
          <w:p>
            <w:pPr>
              <w:spacing w:after="0"/>
              <w:rPr>
                <w:sz w:val="20"/>
                <w:szCs w:val="20"/>
                <w:color w:val="auto"/>
              </w:rPr>
            </w:pPr>
            <w:r>
              <w:rPr>
                <w:rFonts w:ascii="Arial" w:cs="Arial" w:eastAsia="Arial" w:hAnsi="Arial"/>
                <w:sz w:val="18"/>
                <w:szCs w:val="18"/>
                <w:color w:val="auto"/>
              </w:rPr>
              <w:t>Long-term debt, net of debt issuance costs, consisted of the following at December 31:</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7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2018</w:t>
            </w:r>
          </w:p>
        </w:tc>
      </w:tr>
      <w:tr>
        <w:trPr>
          <w:trHeight w:val="169"/>
        </w:trPr>
        <w:tc>
          <w:tcPr>
            <w:tcW w:w="7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5"/>
          </w:tcPr>
          <w:p>
            <w:pPr>
              <w:jc w:val="right"/>
              <w:ind w:right="40"/>
              <w:spacing w:after="0" w:line="169" w:lineRule="exact"/>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4"/>
                <w:szCs w:val="14"/>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r>
      <w:tr>
        <w:trPr>
          <w:trHeight w:val="175"/>
        </w:trPr>
        <w:tc>
          <w:tcPr>
            <w:tcW w:w="7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r>
      <w:tr>
        <w:trPr>
          <w:trHeight w:val="365"/>
        </w:trPr>
        <w:tc>
          <w:tcPr>
            <w:tcW w:w="7020" w:type="dxa"/>
            <w:vAlign w:val="bottom"/>
          </w:tcPr>
          <w:p>
            <w:pPr>
              <w:spacing w:after="0"/>
              <w:rPr>
                <w:sz w:val="20"/>
                <w:szCs w:val="20"/>
                <w:color w:val="auto"/>
              </w:rPr>
            </w:pPr>
            <w:r>
              <w:rPr>
                <w:rFonts w:ascii="Arial" w:cs="Arial" w:eastAsia="Arial" w:hAnsi="Arial"/>
                <w:sz w:val="18"/>
                <w:szCs w:val="18"/>
                <w:color w:val="auto"/>
                <w:w w:val="98"/>
              </w:rPr>
              <w:t>Approximate annual aggregate maturities of long-term debt are as follows (in thousands):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169"/>
        </w:trPr>
        <w:tc>
          <w:tcPr>
            <w:tcW w:w="70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r>
      <w:tr>
        <w:trPr>
          <w:trHeight w:val="175"/>
        </w:trPr>
        <w:tc>
          <w:tcPr>
            <w:tcW w:w="702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63,000</w:t>
            </w:r>
          </w:p>
        </w:tc>
      </w:tr>
      <w:tr>
        <w:trPr>
          <w:trHeight w:val="175"/>
        </w:trPr>
        <w:tc>
          <w:tcPr>
            <w:tcW w:w="7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r>
    </w:tbl>
    <w:p>
      <w:pPr>
        <w:spacing w:after="0" w:line="148"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On September 18, 2018, Holdings and its operating subsidiary, The Tile Shop,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our rent adjusted leverage ratio. At December 31, 2019, the LIBOR-based interest rate was 4.01% and the base rate was 6.00%.</w:t>
      </w:r>
    </w:p>
    <w:p>
      <w:pPr>
        <w:spacing w:after="0" w:line="121" w:lineRule="exact"/>
        <w:rPr>
          <w:sz w:val="20"/>
          <w:szCs w:val="20"/>
          <w:color w:val="auto"/>
        </w:rPr>
      </w:pPr>
    </w:p>
    <w:p>
      <w:pPr>
        <w:ind w:right="280"/>
        <w:spacing w:after="0" w:line="214"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December 31, 2019.</w:t>
      </w:r>
    </w:p>
    <w:p>
      <w:pPr>
        <w:spacing w:after="0" w:line="12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Borrowings outstanding consisted of $63.0 million on the revolving line of credit as of December 31, 2019. In addition, the Company has standby letters of credit outstanding related to its workers compensation and medical insurance policies. As of December 31, 2019 and 2018, the standby letters of credit totaled $1.3 million and $1.1 million, respectively. There was $35.7 million available for borrowing on the revolving line of credit as of December 31, 2019, which may be used to support the Company’s growth and for working capital purposes.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right="300"/>
        <w:spacing w:after="0" w:line="235" w:lineRule="auto"/>
        <w:rPr>
          <w:sz w:val="20"/>
          <w:szCs w:val="20"/>
          <w:color w:val="auto"/>
        </w:rPr>
      </w:pPr>
      <w:r>
        <w:rPr>
          <w:rFonts w:ascii="Arial" w:cs="Arial" w:eastAsia="Arial" w:hAnsi="Arial"/>
          <w:sz w:val="16"/>
          <w:szCs w:val="16"/>
          <w:color w:val="auto"/>
        </w:rPr>
        <w:t>The Company is, from time to time, party to lawsuits, threatened lawsuits, disputes and other claims arising in the normal course of business. 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accruals may be increased or decreased to reflect any relevant developments on a quarterly basis. Where a loss is not probable or the amount of the loss is not estimable, the Company does not record an accrual, consistent with applicable accounting guidance. Based on information currently available to the Company, advice of counsel, and available insurance coverage, the Company believes that its established accruals are adequate and the liabilities arising from the legal proceedings will not have a material adverse effect on its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the Company’s results of operations for a particular period, depending upon the size of the loss or the Company’s income for that particular period.</w:t>
      </w:r>
    </w:p>
    <w:p>
      <w:pPr>
        <w:spacing w:after="0" w:line="124" w:lineRule="exact"/>
        <w:rPr>
          <w:sz w:val="20"/>
          <w:szCs w:val="20"/>
          <w:color w:val="auto"/>
        </w:rPr>
      </w:pPr>
    </w:p>
    <w:p>
      <w:pPr>
        <w:ind w:right="220"/>
        <w:spacing w:after="0" w:line="221" w:lineRule="auto"/>
        <w:rPr>
          <w:sz w:val="20"/>
          <w:szCs w:val="20"/>
          <w:color w:val="auto"/>
        </w:rPr>
      </w:pPr>
      <w:r>
        <w:rPr>
          <w:rFonts w:ascii="Arial" w:cs="Arial" w:eastAsia="Arial" w:hAnsi="Arial"/>
          <w:sz w:val="17"/>
          <w:szCs w:val="17"/>
          <w:color w:val="auto"/>
        </w:rPr>
        <w:t>On November 5, 2019, a class action and derivative lawsuit was filed in the Court of Chancery of the State of Delaware against the Company and its directors by a plaintiff’s law firm with K-Bar Holdings LLC listed as plaintiff. The complaint was filed again by the same law firm on November 7, 2019 with Wynnefield Capital, Inc. as the plaintiff. The complaint alleges breaches of fiduciary duty in connection with the Company’s decision to delist from Nasdaq and deregister its common stock under the Exchange Act and directors’ purchases of common stock. The complaint includes derivative claims and seeks injunctive relief to prevent the Company from deregistering its common stock, injunctive relief to prevent additional stock purchases, and unspecified damages. A hearing was scheduled for February 21, 2020 for the court to consider whether a preliminary injunction should be issued to continue the temporary restraining order (“TRO”) that was entered by the court on November 8, 2019. The TRO prohibits the Company from filing a Form 15 to complete the proposed deregistration and additional stock purchases by directors. The Company has determined to forego the preliminary injunction hearing and proceed directly to a full trial on the merits, which is currently scheduled for April 13-14, 2020. The Company plans to continue to contest the litigation vigorously.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4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55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December 31, 2019</w:t>
            </w:r>
          </w:p>
        </w:tc>
        <w:tc>
          <w:tcPr>
            <w:tcW w:w="20" w:type="dxa"/>
            <w:vAlign w:val="bottom"/>
          </w:tcPr>
          <w:p>
            <w:pPr>
              <w:spacing w:after="0"/>
              <w:rPr>
                <w:sz w:val="18"/>
                <w:szCs w:val="18"/>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8"/>
                <w:szCs w:val="18"/>
                <w:color w:val="auto"/>
              </w:rPr>
              <w:t>Assets</w:t>
            </w:r>
          </w:p>
        </w:tc>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Right of use asset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137,737</w:t>
            </w:r>
          </w:p>
        </w:tc>
        <w:tc>
          <w:tcPr>
            <w:tcW w:w="20" w:type="dxa"/>
            <w:vAlign w:val="bottom"/>
          </w:tcPr>
          <w:p>
            <w:pPr>
              <w:spacing w:after="0"/>
              <w:rPr>
                <w:sz w:val="19"/>
                <w:szCs w:val="19"/>
                <w:color w:val="auto"/>
              </w:rPr>
            </w:pPr>
          </w:p>
        </w:tc>
      </w:tr>
      <w:tr>
        <w:trPr>
          <w:trHeight w:val="230"/>
        </w:trPr>
        <w:tc>
          <w:tcPr>
            <w:tcW w:w="2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lease assets</w:t>
            </w:r>
          </w:p>
        </w:tc>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w w:val="99"/>
              </w:rPr>
              <w:t>Property, plant and equipment, net of accumulated depreciation</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leased assets</w:t>
            </w:r>
          </w:p>
        </w:tc>
        <w:tc>
          <w:tcPr>
            <w:tcW w:w="5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137,850</w:t>
            </w:r>
          </w:p>
        </w:tc>
        <w:tc>
          <w:tcPr>
            <w:tcW w:w="20" w:type="dxa"/>
            <w:vAlign w:val="bottom"/>
          </w:tcPr>
          <w:p>
            <w:pPr>
              <w:spacing w:after="0"/>
              <w:rPr>
                <w:sz w:val="18"/>
                <w:szCs w:val="18"/>
                <w:color w:val="auto"/>
              </w:rPr>
            </w:pPr>
          </w:p>
        </w:tc>
      </w:tr>
      <w:tr>
        <w:trPr>
          <w:trHeight w:val="216"/>
        </w:trPr>
        <w:tc>
          <w:tcPr>
            <w:tcW w:w="2040" w:type="dxa"/>
            <w:vAlign w:val="bottom"/>
            <w:tcBorders>
              <w:top w:val="single" w:sz="8" w:color="CCEEFF"/>
            </w:tcBorders>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Current</w:t>
            </w:r>
          </w:p>
        </w:tc>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portion of lease liability</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26,993</w:t>
            </w:r>
          </w:p>
        </w:tc>
        <w:tc>
          <w:tcPr>
            <w:tcW w:w="20" w:type="dxa"/>
            <w:vAlign w:val="bottom"/>
          </w:tcPr>
          <w:p>
            <w:pPr>
              <w:spacing w:after="0"/>
              <w:rPr>
                <w:sz w:val="19"/>
                <w:szCs w:val="19"/>
                <w:color w:val="auto"/>
              </w:rPr>
            </w:pPr>
          </w:p>
        </w:tc>
      </w:tr>
      <w:tr>
        <w:trPr>
          <w:trHeight w:val="230"/>
        </w:trPr>
        <w:tc>
          <w:tcPr>
            <w:tcW w:w="2040" w:type="dxa"/>
            <w:vAlign w:val="bottom"/>
          </w:tcPr>
          <w:p>
            <w:pPr>
              <w:ind w:left="100"/>
              <w:spacing w:after="0"/>
              <w:rPr>
                <w:sz w:val="20"/>
                <w:szCs w:val="20"/>
                <w:color w:val="auto"/>
              </w:rPr>
            </w:pPr>
            <w:r>
              <w:rPr>
                <w:rFonts w:ascii="Arial" w:cs="Arial" w:eastAsia="Arial" w:hAnsi="Arial"/>
                <w:sz w:val="18"/>
                <w:szCs w:val="18"/>
                <w:color w:val="auto"/>
              </w:rPr>
              <w:t>Financing</w:t>
            </w:r>
          </w:p>
        </w:tc>
        <w:tc>
          <w:tcPr>
            <w:tcW w:w="5540" w:type="dxa"/>
            <w:vAlign w:val="bottom"/>
          </w:tcPr>
          <w:p>
            <w:pPr>
              <w:ind w:left="46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r>
      <w:tr>
        <w:trPr>
          <w:trHeight w:val="229"/>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5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4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5540" w:type="dxa"/>
            <w:vAlign w:val="bottom"/>
          </w:tcPr>
          <w:p>
            <w:pPr>
              <w:ind w:left="460"/>
              <w:spacing w:after="0"/>
              <w:rPr>
                <w:sz w:val="20"/>
                <w:szCs w:val="20"/>
                <w:color w:val="auto"/>
              </w:rPr>
            </w:pPr>
            <w:r>
              <w:rPr>
                <w:rFonts w:ascii="Arial" w:cs="Arial" w:eastAsia="Arial" w:hAnsi="Arial"/>
                <w:sz w:val="18"/>
                <w:szCs w:val="18"/>
                <w:color w:val="auto"/>
              </w:rPr>
              <w:t>Long-term lease liability, net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131,451</w:t>
            </w:r>
          </w:p>
        </w:tc>
        <w:tc>
          <w:tcPr>
            <w:tcW w:w="20" w:type="dxa"/>
            <w:vAlign w:val="bottom"/>
          </w:tcPr>
          <w:p>
            <w:pPr>
              <w:spacing w:after="0"/>
              <w:rPr>
                <w:sz w:val="19"/>
                <w:szCs w:val="19"/>
                <w:color w:val="auto"/>
              </w:rPr>
            </w:pPr>
          </w:p>
        </w:tc>
      </w:tr>
      <w:tr>
        <w:trPr>
          <w:trHeight w:val="230"/>
        </w:trPr>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w:t>
            </w:r>
          </w:p>
        </w:tc>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lease obligation, net</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55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158,880</w:t>
            </w:r>
          </w:p>
        </w:tc>
        <w:tc>
          <w:tcPr>
            <w:tcW w:w="20" w:type="dxa"/>
            <w:vAlign w:val="bottom"/>
          </w:tcPr>
          <w:p>
            <w:pPr>
              <w:spacing w:after="0"/>
              <w:rPr>
                <w:sz w:val="18"/>
                <w:szCs w:val="18"/>
                <w:color w:val="auto"/>
              </w:rPr>
            </w:pPr>
          </w:p>
        </w:tc>
      </w:tr>
      <w:tr>
        <w:trPr>
          <w:trHeight w:val="594"/>
        </w:trPr>
        <w:tc>
          <w:tcPr>
            <w:tcW w:w="2040" w:type="dxa"/>
            <w:vAlign w:val="bottom"/>
          </w:tcPr>
          <w:p>
            <w:pPr>
              <w:spacing w:after="0"/>
              <w:rPr>
                <w:sz w:val="24"/>
                <w:szCs w:val="24"/>
                <w:color w:val="auto"/>
              </w:rPr>
            </w:pPr>
          </w:p>
        </w:tc>
        <w:tc>
          <w:tcPr>
            <w:tcW w:w="5540" w:type="dxa"/>
            <w:vAlign w:val="bottom"/>
          </w:tcPr>
          <w:p>
            <w:pPr>
              <w:ind w:left="28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2040" w:type="dxa"/>
            <w:vAlign w:val="bottom"/>
            <w:tcBorders>
              <w:bottom w:val="single" w:sz="8" w:color="9A9A9A"/>
            </w:tcBorders>
          </w:tcPr>
          <w:p>
            <w:pPr>
              <w:spacing w:after="0"/>
              <w:rPr>
                <w:sz w:val="7"/>
                <w:szCs w:val="7"/>
                <w:color w:val="auto"/>
              </w:rPr>
            </w:pPr>
          </w:p>
        </w:tc>
        <w:tc>
          <w:tcPr>
            <w:tcW w:w="5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040" w:type="dxa"/>
            <w:vAlign w:val="bottom"/>
            <w:tcBorders>
              <w:bottom w:val="single" w:sz="8" w:color="EEEEEE"/>
            </w:tcBorders>
          </w:tcPr>
          <w:p>
            <w:pPr>
              <w:spacing w:after="0" w:line="20" w:lineRule="exact"/>
              <w:rPr>
                <w:sz w:val="1"/>
                <w:szCs w:val="1"/>
                <w:color w:val="auto"/>
              </w:rPr>
            </w:pPr>
          </w:p>
        </w:tc>
        <w:tc>
          <w:tcPr>
            <w:tcW w:w="5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54" w:name="page55"/>
    <w:bookmarkEnd w:id="54"/>
    <w:p>
      <w:pPr>
        <w:ind w:left="4"/>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bl>
      <w:tblPr>
        <w:tblLayout w:type="fixed"/>
        <w:tblInd w:w="4" w:type="dxa"/>
        <w:tblCellMar>
          <w:top w:w="0" w:type="dxa"/>
          <w:left w:w="0" w:type="dxa"/>
          <w:bottom w:w="0" w:type="dxa"/>
          <w:right w:w="0" w:type="dxa"/>
        </w:tblCellMar>
      </w:tblPr>
      <w:tr>
        <w:trPr>
          <w:trHeight w:val="142"/>
        </w:trPr>
        <w:tc>
          <w:tcPr>
            <w:tcW w:w="1320" w:type="dxa"/>
            <w:vAlign w:val="bottom"/>
            <w:tcBorders>
              <w:top w:val="single" w:sz="8" w:color="0000EE"/>
            </w:tcBorders>
          </w:tcPr>
          <w:p>
            <w:pPr>
              <w:spacing w:after="0"/>
              <w:rPr>
                <w:sz w:val="12"/>
                <w:szCs w:val="12"/>
                <w:color w:val="auto"/>
              </w:rPr>
            </w:pPr>
          </w:p>
        </w:tc>
        <w:tc>
          <w:tcPr>
            <w:tcW w:w="1080" w:type="dxa"/>
            <w:vAlign w:val="bottom"/>
          </w:tcPr>
          <w:p>
            <w:pPr>
              <w:spacing w:after="0"/>
              <w:rPr>
                <w:sz w:val="12"/>
                <w:szCs w:val="12"/>
                <w:color w:val="auto"/>
              </w:rPr>
            </w:pPr>
          </w:p>
        </w:tc>
        <w:tc>
          <w:tcPr>
            <w:tcW w:w="5160" w:type="dxa"/>
            <w:vAlign w:val="bottom"/>
          </w:tcPr>
          <w:p>
            <w:pPr>
              <w:ind w:left="980"/>
              <w:spacing w:after="0" w:line="142" w:lineRule="exact"/>
              <w:rPr>
                <w:sz w:val="20"/>
                <w:szCs w:val="20"/>
                <w:color w:val="auto"/>
              </w:rPr>
            </w:pPr>
            <w:r>
              <w:rPr>
                <w:rFonts w:ascii="Arial" w:cs="Arial" w:eastAsia="Arial" w:hAnsi="Arial"/>
                <w:sz w:val="16"/>
                <w:szCs w:val="16"/>
                <w:b w:val="1"/>
                <w:bCs w:val="1"/>
                <w:color w:val="auto"/>
              </w:rPr>
              <w:t>Tile Shop Holdings, Inc. and Subsidiaries</w:t>
            </w:r>
          </w:p>
        </w:tc>
      </w:tr>
      <w:tr>
        <w:trPr>
          <w:trHeight w:val="230"/>
        </w:trPr>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160" w:type="dxa"/>
            <w:vAlign w:val="bottom"/>
          </w:tcPr>
          <w:p>
            <w:pPr>
              <w:ind w:left="980"/>
              <w:spacing w:after="0"/>
              <w:rPr>
                <w:sz w:val="20"/>
                <w:szCs w:val="20"/>
                <w:color w:val="auto"/>
              </w:rPr>
            </w:pPr>
            <w:r>
              <w:rPr>
                <w:rFonts w:ascii="Arial" w:cs="Arial" w:eastAsia="Arial" w:hAnsi="Arial"/>
                <w:sz w:val="18"/>
                <w:szCs w:val="18"/>
                <w:color w:val="auto"/>
              </w:rPr>
              <w:t>Notes to Consolidated Financial Statements</w:t>
            </w:r>
          </w:p>
        </w:tc>
      </w:tr>
      <w:tr>
        <w:trPr>
          <w:trHeight w:val="796"/>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 cost (in thousands)</w:t>
            </w:r>
          </w:p>
        </w:tc>
        <w:tc>
          <w:tcPr>
            <w:tcW w:w="5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Classification</w:t>
            </w:r>
          </w:p>
        </w:tc>
      </w:tr>
      <w:tr>
        <w:trPr>
          <w:trHeight w:val="236"/>
        </w:trPr>
        <w:tc>
          <w:tcPr>
            <w:tcW w:w="240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5160" w:type="dxa"/>
            <w:vAlign w:val="bottom"/>
          </w:tcPr>
          <w:p>
            <w:pPr>
              <w:ind w:left="180"/>
              <w:spacing w:after="0"/>
              <w:rPr>
                <w:sz w:val="20"/>
                <w:szCs w:val="20"/>
                <w:color w:val="auto"/>
              </w:rPr>
            </w:pPr>
            <w:r>
              <w:rPr>
                <w:rFonts w:ascii="Arial" w:cs="Arial" w:eastAsia="Arial" w:hAnsi="Arial"/>
                <w:sz w:val="18"/>
                <w:szCs w:val="18"/>
                <w:color w:val="auto"/>
              </w:rPr>
              <w:t>SG&amp;A expenses</w:t>
            </w: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Financing lease cost</w:t>
            </w:r>
          </w:p>
        </w:tc>
        <w:tc>
          <w:tcPr>
            <w:tcW w:w="5160" w:type="dxa"/>
            <w:vAlign w:val="bottom"/>
          </w:tcPr>
          <w:p>
            <w:pPr>
              <w:spacing w:after="0"/>
              <w:rPr>
                <w:sz w:val="19"/>
                <w:szCs w:val="19"/>
                <w:color w:val="auto"/>
              </w:rPr>
            </w:pPr>
          </w:p>
        </w:tc>
      </w:tr>
      <w:tr>
        <w:trPr>
          <w:trHeight w:val="229"/>
        </w:trPr>
        <w:tc>
          <w:tcPr>
            <w:tcW w:w="2400" w:type="dxa"/>
            <w:vAlign w:val="bottom"/>
            <w:gridSpan w:val="2"/>
          </w:tcPr>
          <w:p>
            <w:pPr>
              <w:ind w:left="100"/>
              <w:spacing w:after="0"/>
              <w:rPr>
                <w:sz w:val="20"/>
                <w:szCs w:val="20"/>
                <w:color w:val="auto"/>
              </w:rPr>
            </w:pPr>
            <w:r>
              <w:rPr>
                <w:rFonts w:ascii="Arial" w:cs="Arial" w:eastAsia="Arial" w:hAnsi="Arial"/>
                <w:sz w:val="18"/>
                <w:szCs w:val="18"/>
                <w:color w:val="auto"/>
                <w:w w:val="96"/>
              </w:rPr>
              <w:t>Amortization of leased assets</w:t>
            </w:r>
          </w:p>
        </w:tc>
        <w:tc>
          <w:tcPr>
            <w:tcW w:w="5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r>
      <w:tr>
        <w:trPr>
          <w:trHeight w:val="230"/>
        </w:trPr>
        <w:tc>
          <w:tcPr>
            <w:tcW w:w="2400" w:type="dxa"/>
            <w:vAlign w:val="bottom"/>
            <w:gridSpan w:val="2"/>
          </w:tcPr>
          <w:p>
            <w:pPr>
              <w:ind w:left="100"/>
              <w:spacing w:after="0"/>
              <w:rPr>
                <w:sz w:val="20"/>
                <w:szCs w:val="20"/>
                <w:color w:val="auto"/>
              </w:rPr>
            </w:pPr>
            <w:r>
              <w:rPr>
                <w:rFonts w:ascii="Arial" w:cs="Arial" w:eastAsia="Arial" w:hAnsi="Arial"/>
                <w:sz w:val="18"/>
                <w:szCs w:val="18"/>
                <w:color w:val="auto"/>
              </w:rPr>
              <w:t>Interest on lease liabilities</w:t>
            </w:r>
          </w:p>
        </w:tc>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r>
      <w:tr>
        <w:trPr>
          <w:trHeight w:val="283"/>
        </w:trPr>
        <w:tc>
          <w:tcPr>
            <w:tcW w:w="2400" w:type="dxa"/>
            <w:vAlign w:val="bottom"/>
            <w:gridSpan w:val="2"/>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8"/>
                <w:szCs w:val="8"/>
                <w:color w:val="auto"/>
              </w:rPr>
              <w:t>(1)</w:t>
            </w:r>
          </w:p>
        </w:tc>
        <w:tc>
          <w:tcPr>
            <w:tcW w:w="5160" w:type="dxa"/>
            <w:vAlign w:val="bottom"/>
          </w:tcPr>
          <w:p>
            <w:pPr>
              <w:ind w:left="180"/>
              <w:spacing w:after="0"/>
              <w:rPr>
                <w:sz w:val="20"/>
                <w:szCs w:val="20"/>
                <w:color w:val="auto"/>
              </w:rPr>
            </w:pPr>
            <w:r>
              <w:rPr>
                <w:rFonts w:ascii="Arial" w:cs="Arial" w:eastAsia="Arial" w:hAnsi="Arial"/>
                <w:sz w:val="18"/>
                <w:szCs w:val="18"/>
                <w:color w:val="auto"/>
              </w:rPr>
              <w:t>SG&amp;A expenses</w:t>
            </w: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Short term lease cost</w:t>
            </w:r>
          </w:p>
        </w:tc>
        <w:tc>
          <w:tcPr>
            <w:tcW w:w="5160" w:type="dxa"/>
            <w:vAlign w:val="bottom"/>
          </w:tcPr>
          <w:p>
            <w:pPr>
              <w:ind w:left="180"/>
              <w:spacing w:after="0"/>
              <w:rPr>
                <w:sz w:val="20"/>
                <w:szCs w:val="20"/>
                <w:color w:val="auto"/>
              </w:rPr>
            </w:pPr>
            <w:r>
              <w:rPr>
                <w:rFonts w:ascii="Arial" w:cs="Arial" w:eastAsia="Arial" w:hAnsi="Arial"/>
                <w:sz w:val="18"/>
                <w:szCs w:val="18"/>
                <w:color w:val="auto"/>
              </w:rPr>
              <w:t>SG&amp;A expenses</w:t>
            </w:r>
          </w:p>
        </w:tc>
      </w:tr>
      <w:tr>
        <w:trPr>
          <w:trHeight w:val="243"/>
        </w:trPr>
        <w:tc>
          <w:tcPr>
            <w:tcW w:w="2400" w:type="dxa"/>
            <w:vAlign w:val="bottom"/>
            <w:gridSpan w:val="2"/>
          </w:tcPr>
          <w:p>
            <w:pPr>
              <w:spacing w:after="0"/>
              <w:rPr>
                <w:sz w:val="20"/>
                <w:szCs w:val="20"/>
                <w:color w:val="auto"/>
              </w:rPr>
            </w:pPr>
            <w:r>
              <w:rPr>
                <w:rFonts w:ascii="Arial" w:cs="Arial" w:eastAsia="Arial" w:hAnsi="Arial"/>
                <w:sz w:val="18"/>
                <w:szCs w:val="18"/>
                <w:color w:val="auto"/>
              </w:rPr>
              <w:t>Net lease cost</w:t>
            </w:r>
          </w:p>
        </w:tc>
        <w:tc>
          <w:tcPr>
            <w:tcW w:w="5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-788035</wp:posOffset>
            </wp:positionV>
            <wp:extent cx="630936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936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-496570</wp:posOffset>
            </wp:positionV>
            <wp:extent cx="630936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9360" cy="1797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30936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9360" cy="162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-1079500</wp:posOffset>
            </wp:positionV>
            <wp:extent cx="630936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93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Year Ended December 31,</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2019</w:t>
      </w:r>
    </w:p>
    <w:p>
      <w:pPr>
        <w:spacing w:after="0"/>
        <w:tabs>
          <w:tab w:leader="none" w:pos="16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32,571</w:t>
      </w:r>
    </w:p>
    <w:p>
      <w:pPr>
        <w:spacing w:after="0" w:line="27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49</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76</w:t>
      </w:r>
    </w:p>
    <w:p>
      <w:pPr>
        <w:spacing w:after="0" w:line="7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13,529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876</w:t>
      </w:r>
    </w:p>
    <w:p>
      <w:pPr>
        <w:spacing w:after="0" w:line="23" w:lineRule="exact"/>
        <w:rPr>
          <w:sz w:val="20"/>
          <w:szCs w:val="20"/>
          <w:color w:val="auto"/>
        </w:rPr>
      </w:pPr>
    </w:p>
    <w:p>
      <w:pPr>
        <w:spacing w:after="0"/>
        <w:tabs>
          <w:tab w:leader="none" w:pos="16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47,101</w:t>
      </w:r>
    </w:p>
    <w:p>
      <w:pPr>
        <w:spacing w:after="0" w:line="191" w:lineRule="exact"/>
        <w:rPr>
          <w:sz w:val="20"/>
          <w:szCs w:val="20"/>
          <w:color w:val="auto"/>
        </w:rPr>
      </w:pPr>
    </w:p>
    <w:p>
      <w:pPr>
        <w:sectPr>
          <w:pgSz w:w="11900" w:h="16838" w:orient="portrait"/>
          <w:cols w:equalWidth="0" w:num="2">
            <w:col w:w="7564" w:space="200"/>
            <w:col w:w="2180"/>
          </w:cols>
          <w:pgMar w:left="976" w:top="95" w:right="979" w:bottom="1440" w:gutter="0" w:footer="0" w:header="0"/>
        </w:sectPr>
      </w:pPr>
    </w:p>
    <w:p>
      <w:pPr>
        <w:ind w:left="4" w:right="540" w:hanging="4"/>
        <w:spacing w:after="0" w:line="235" w:lineRule="auto"/>
        <w:tabs>
          <w:tab w:leader="none" w:pos="131" w:val="left"/>
        </w:tabs>
        <w:numPr>
          <w:ilvl w:val="0"/>
          <w:numId w:val="31"/>
        </w:numPr>
        <w:rPr>
          <w:rFonts w:ascii="Arial" w:cs="Arial" w:eastAsia="Arial" w:hAnsi="Arial"/>
          <w:sz w:val="9"/>
          <w:szCs w:val="9"/>
          <w:color w:val="auto"/>
        </w:rPr>
      </w:pPr>
      <w:r>
        <w:rPr>
          <w:rFonts w:ascii="Arial" w:cs="Arial" w:eastAsia="Arial" w:hAnsi="Arial"/>
          <w:sz w:val="18"/>
          <w:szCs w:val="18"/>
          <w:color w:val="auto"/>
        </w:rPr>
        <w:t>Variable lease costs consist primarily of taxes, insurance, and common area or other maintenance costs for the Company’s leased facilities.</w:t>
      </w:r>
    </w:p>
    <w:p>
      <w:pPr>
        <w:spacing w:after="0" w:line="30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Maturity of Lease Liabilities (in thousands)</w:t>
            </w: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color w:val="auto"/>
                <w:w w:val="98"/>
              </w:rPr>
              <w:t>Operating Leases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Financing Leases</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35,907</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36,123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4"/>
          </w:tcPr>
          <w:p>
            <w:pPr>
              <w:jc w:val="right"/>
              <w:ind w:right="180"/>
              <w:spacing w:after="0"/>
              <w:rPr>
                <w:sz w:val="20"/>
                <w:szCs w:val="20"/>
                <w:color w:val="auto"/>
              </w:rPr>
            </w:pPr>
            <w:r>
              <w:rPr>
                <w:rFonts w:ascii="Arial" w:cs="Arial" w:eastAsia="Arial" w:hAnsi="Arial"/>
                <w:sz w:val="18"/>
                <w:szCs w:val="18"/>
                <w:color w:val="auto"/>
              </w:rPr>
              <w:t>34,819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35,034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31,895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4"/>
          </w:tcPr>
          <w:p>
            <w:pPr>
              <w:jc w:val="right"/>
              <w:ind w:right="180"/>
              <w:spacing w:after="0"/>
              <w:rPr>
                <w:sz w:val="20"/>
                <w:szCs w:val="20"/>
                <w:color w:val="auto"/>
              </w:rPr>
            </w:pPr>
            <w:r>
              <w:rPr>
                <w:rFonts w:ascii="Arial" w:cs="Arial" w:eastAsia="Arial" w:hAnsi="Arial"/>
                <w:sz w:val="18"/>
                <w:szCs w:val="18"/>
                <w:color w:val="auto"/>
              </w:rPr>
              <w:t>27,084</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27,084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20,431</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41,026</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41,026</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191,162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191,683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Less: interest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4"/>
          </w:tcPr>
          <w:p>
            <w:pPr>
              <w:jc w:val="right"/>
              <w:ind w:right="120"/>
              <w:spacing w:after="0"/>
              <w:rPr>
                <w:sz w:val="20"/>
                <w:szCs w:val="20"/>
                <w:color w:val="auto"/>
              </w:rPr>
            </w:pPr>
            <w:r>
              <w:rPr>
                <w:rFonts w:ascii="Arial" w:cs="Arial" w:eastAsia="Arial" w:hAnsi="Arial"/>
                <w:sz w:val="18"/>
                <w:szCs w:val="18"/>
                <w:color w:val="auto"/>
              </w:rPr>
              <w:t>(32,718)</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(32,803)</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158,444</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158,880</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120" w:type="dxa"/>
            <w:vAlign w:val="bottom"/>
            <w:vMerge w:val="restart"/>
          </w:tcPr>
          <w:p>
            <w:pPr>
              <w:spacing w:after="0"/>
              <w:rPr>
                <w:sz w:val="20"/>
                <w:szCs w:val="20"/>
                <w:color w:val="auto"/>
              </w:rPr>
            </w:pPr>
            <w:r>
              <w:rPr>
                <w:rFonts w:ascii="Arial" w:cs="Arial" w:eastAsia="Arial" w:hAnsi="Arial"/>
                <w:sz w:val="18"/>
                <w:szCs w:val="18"/>
                <w:color w:val="auto"/>
              </w:rPr>
              <w:t>Other Information (in thousands)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right"/>
              <w:ind w:right="440"/>
              <w:spacing w:after="0"/>
              <w:rPr>
                <w:sz w:val="20"/>
                <w:szCs w:val="20"/>
                <w:color w:val="auto"/>
              </w:rPr>
            </w:pPr>
            <w:r>
              <w:rPr>
                <w:rFonts w:ascii="Arial" w:cs="Arial" w:eastAsia="Arial" w:hAnsi="Arial"/>
                <w:sz w:val="18"/>
                <w:szCs w:val="18"/>
                <w:color w:val="auto"/>
                <w:w w:val="94"/>
              </w:rPr>
              <w:t>Year Ended December 31,</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00" w:type="dxa"/>
            <w:vAlign w:val="bottom"/>
            <w:gridSpan w:val="3"/>
          </w:tcPr>
          <w:p>
            <w:pPr>
              <w:spacing w:after="0" w:line="169" w:lineRule="exact"/>
              <w:rPr>
                <w:sz w:val="20"/>
                <w:szCs w:val="20"/>
                <w:color w:val="auto"/>
              </w:rPr>
            </w:pPr>
            <w:r>
              <w:rPr>
                <w:rFonts w:ascii="Arial" w:cs="Arial" w:eastAsia="Arial" w:hAnsi="Arial"/>
                <w:sz w:val="18"/>
                <w:szCs w:val="18"/>
                <w:color w:val="auto"/>
                <w:w w:val="94"/>
              </w:rPr>
              <w:t>Cash paid for amounts included in the measurement of lease liabilities</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35,054</w:t>
            </w: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Operating cash flows from financing leases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57"/>
              <w:spacing w:after="0"/>
              <w:rPr>
                <w:sz w:val="20"/>
                <w:szCs w:val="20"/>
                <w:color w:val="auto"/>
              </w:rPr>
            </w:pPr>
            <w:r>
              <w:rPr>
                <w:rFonts w:ascii="Arial" w:cs="Arial" w:eastAsia="Arial" w:hAnsi="Arial"/>
                <w:sz w:val="10"/>
                <w:szCs w:val="10"/>
                <w:color w:val="auto"/>
                <w:w w:val="71"/>
              </w:rPr>
              <w: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 cash flows from financing leases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7280" w:type="dxa"/>
            <w:vAlign w:val="bottom"/>
            <w:gridSpan w:val="7"/>
          </w:tcPr>
          <w:p>
            <w:pPr>
              <w:ind w:left="100"/>
              <w:spacing w:after="0"/>
              <w:rPr>
                <w:sz w:val="20"/>
                <w:szCs w:val="20"/>
                <w:color w:val="auto"/>
              </w:rPr>
            </w:pPr>
            <w:r>
              <w:rPr>
                <w:rFonts w:ascii="Arial" w:cs="Arial" w:eastAsia="Arial" w:hAnsi="Arial"/>
                <w:sz w:val="18"/>
                <w:szCs w:val="18"/>
                <w:color w:val="auto"/>
              </w:rPr>
              <w:t>Lease right-of-use assets obtained or modified in exchange for lease obligations</w:t>
            </w:r>
          </w:p>
        </w:tc>
        <w:tc>
          <w:tcPr>
            <w:tcW w:w="180" w:type="dxa"/>
            <w:vAlign w:val="bottom"/>
          </w:tcPr>
          <w:p>
            <w:pPr>
              <w:jc w:val="right"/>
              <w:ind w:right="57"/>
              <w:spacing w:after="0"/>
              <w:rPr>
                <w:sz w:val="20"/>
                <w:szCs w:val="20"/>
                <w:color w:val="auto"/>
              </w:rPr>
            </w:pPr>
            <w:r>
              <w:rPr>
                <w:rFonts w:ascii="Arial" w:cs="Arial" w:eastAsia="Arial" w:hAnsi="Arial"/>
                <w:sz w:val="10"/>
                <w:szCs w:val="10"/>
                <w:color w:val="auto"/>
                <w:w w:val="71"/>
              </w:rPr>
              <w:t>$</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338"/>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Term and Discount Rate</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December 31, 2019</w:t>
            </w:r>
          </w:p>
        </w:tc>
        <w:tc>
          <w:tcPr>
            <w:tcW w:w="5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line="169" w:lineRule="exact"/>
              <w:rPr>
                <w:sz w:val="20"/>
                <w:szCs w:val="20"/>
                <w:color w:val="auto"/>
              </w:rPr>
            </w:pPr>
            <w:r>
              <w:rPr>
                <w:rFonts w:ascii="Arial" w:cs="Arial" w:eastAsia="Arial" w:hAnsi="Arial"/>
                <w:sz w:val="18"/>
                <w:szCs w:val="18"/>
                <w:color w:val="auto"/>
              </w:rPr>
              <w:t>Weighted-average remaining term (years)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Financing leases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Weighted-average discount rate</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6.23 %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 leases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14.73 %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 w:right="3820"/>
        <w:spacing w:after="0" w:line="409" w:lineRule="auto"/>
        <w:rPr>
          <w:sz w:val="20"/>
          <w:szCs w:val="20"/>
          <w:color w:val="auto"/>
        </w:rPr>
      </w:pPr>
      <w:r>
        <w:rPr>
          <w:rFonts w:ascii="Arial" w:cs="Arial" w:eastAsia="Arial" w:hAnsi="Arial"/>
          <w:sz w:val="18"/>
          <w:szCs w:val="18"/>
          <w:b w:val="1"/>
          <w:bCs w:val="1"/>
          <w:color w:val="auto"/>
        </w:rPr>
        <w:t>Disclosures Related to Periods Prior to the Adoption of the New Lease Standard Capital Leases:</w:t>
      </w:r>
    </w:p>
    <w:p>
      <w:pPr>
        <w:spacing w:after="0" w:line="1" w:lineRule="exact"/>
        <w:rPr>
          <w:sz w:val="20"/>
          <w:szCs w:val="20"/>
          <w:color w:val="auto"/>
        </w:rPr>
      </w:pPr>
    </w:p>
    <w:p>
      <w:pPr>
        <w:ind w:left="4" w:right="120"/>
        <w:spacing w:after="0" w:line="235" w:lineRule="auto"/>
        <w:rPr>
          <w:sz w:val="20"/>
          <w:szCs w:val="20"/>
          <w:color w:val="auto"/>
        </w:rPr>
      </w:pPr>
      <w:r>
        <w:rPr>
          <w:rFonts w:ascii="Arial" w:cs="Arial" w:eastAsia="Arial" w:hAnsi="Arial"/>
          <w:sz w:val="18"/>
          <w:szCs w:val="18"/>
          <w:color w:val="auto"/>
        </w:rPr>
        <w:t>The Company has one store lease that is accounted for as a capital lease. This lease expires in 2022. Assets acquired under capital leases are included in property, plant and equipment.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Operating Leases:</w:t>
      </w:r>
    </w:p>
    <w:p>
      <w:pPr>
        <w:spacing w:after="0" w:line="148" w:lineRule="exact"/>
        <w:rPr>
          <w:sz w:val="20"/>
          <w:szCs w:val="20"/>
          <w:color w:val="auto"/>
        </w:rPr>
      </w:pPr>
    </w:p>
    <w:p>
      <w:pPr>
        <w:ind w:left="4" w:right="100"/>
        <w:spacing w:after="0" w:line="226" w:lineRule="auto"/>
        <w:rPr>
          <w:sz w:val="20"/>
          <w:szCs w:val="20"/>
          <w:color w:val="auto"/>
        </w:rPr>
      </w:pPr>
      <w:r>
        <w:rPr>
          <w:rFonts w:ascii="Arial" w:cs="Arial" w:eastAsia="Arial" w:hAnsi="Arial"/>
          <w:sz w:val="17"/>
          <w:szCs w:val="17"/>
          <w:color w:val="auto"/>
        </w:rPr>
        <w:t>The Company leases buildings and office space under various operating lease agreements. In addition to rent, most leases require payments of real estate taxes, insurance, and common area maintenance. The leases generally have an initial lease term of ten to fifteen years and contain renewal options and escalation clauses. For leases that contain fixed escalation of the minimum rent or rent holidays, rent expense is recognized on a straight-line basis through the end of the lease term including assumed renewals. The difference between the straight-line rent amounts and amounts payable under the leases is recorded as deferred rent. For the years ended December 31, 2018 and 2017, rent expense was $35.4 million, and $33.8 million, respectively.</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95" w:right="97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148"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23" w:lineRule="exact"/>
        <w:rPr>
          <w:sz w:val="20"/>
          <w:szCs w:val="20"/>
          <w:color w:val="auto"/>
        </w:rPr>
      </w:pPr>
    </w:p>
    <w:p>
      <w:pPr>
        <w:ind w:left="480" w:right="360"/>
        <w:spacing w:after="0" w:line="235" w:lineRule="auto"/>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21" w:lineRule="exact"/>
        <w:rPr>
          <w:sz w:val="20"/>
          <w:szCs w:val="20"/>
          <w:color w:val="auto"/>
        </w:rPr>
      </w:pPr>
    </w:p>
    <w:p>
      <w:pPr>
        <w:ind w:left="480" w:right="420"/>
        <w:spacing w:after="0" w:line="235"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13" w:lineRule="exact"/>
        <w:rPr>
          <w:sz w:val="20"/>
          <w:szCs w:val="20"/>
          <w:color w:val="auto"/>
        </w:rPr>
      </w:pPr>
    </w:p>
    <w:p>
      <w:pPr>
        <w:ind w:left="960" w:hanging="316"/>
        <w:spacing w:after="0"/>
        <w:tabs>
          <w:tab w:leader="none" w:pos="96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Quoted prices for similar assets or liabilities in active markets;</w:t>
      </w:r>
    </w:p>
    <w:p>
      <w:pPr>
        <w:spacing w:after="0" w:line="55" w:lineRule="exact"/>
        <w:rPr>
          <w:rFonts w:ascii="Arial" w:cs="Arial" w:eastAsia="Arial" w:hAnsi="Arial"/>
          <w:sz w:val="29"/>
          <w:szCs w:val="29"/>
          <w:color w:val="auto"/>
          <w:vertAlign w:val="superscript"/>
        </w:rPr>
      </w:pPr>
    </w:p>
    <w:p>
      <w:pPr>
        <w:ind w:left="960" w:hanging="316"/>
        <w:spacing w:after="0" w:line="186" w:lineRule="auto"/>
        <w:tabs>
          <w:tab w:leader="none" w:pos="960" w:val="left"/>
        </w:tabs>
        <w:numPr>
          <w:ilvl w:val="0"/>
          <w:numId w:val="32"/>
        </w:numPr>
        <w:rPr>
          <w:rFonts w:ascii="Arial" w:cs="Arial" w:eastAsia="Arial" w:hAnsi="Arial"/>
          <w:sz w:val="24"/>
          <w:szCs w:val="24"/>
          <w:color w:val="auto"/>
          <w:vertAlign w:val="superscript"/>
        </w:rPr>
      </w:pPr>
      <w:r>
        <w:rPr>
          <w:rFonts w:ascii="Arial" w:cs="Arial" w:eastAsia="Arial" w:hAnsi="Arial"/>
          <w:sz w:val="15"/>
          <w:szCs w:val="15"/>
          <w:color w:val="auto"/>
        </w:rPr>
        <w:t>Quoted prices for identical or similar assets or liabilities in non-active markets;</w:t>
      </w:r>
    </w:p>
    <w:p>
      <w:pPr>
        <w:spacing w:after="0" w:line="56"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0"/>
          <w:numId w:val="32"/>
        </w:numPr>
        <w:rPr>
          <w:rFonts w:ascii="Arial" w:cs="Arial" w:eastAsia="Arial" w:hAnsi="Arial"/>
          <w:sz w:val="24"/>
          <w:szCs w:val="24"/>
          <w:color w:val="auto"/>
          <w:vertAlign w:val="superscript"/>
        </w:rPr>
      </w:pPr>
      <w:r>
        <w:rPr>
          <w:rFonts w:ascii="Arial" w:cs="Arial" w:eastAsia="Arial" w:hAnsi="Arial"/>
          <w:sz w:val="15"/>
          <w:szCs w:val="15"/>
          <w:color w:val="auto"/>
        </w:rPr>
        <w:t>Inputs other than quoted prices that are observable for the asset or liability; and</w:t>
      </w:r>
    </w:p>
    <w:p>
      <w:pPr>
        <w:spacing w:after="0" w:line="56" w:lineRule="exact"/>
        <w:rPr>
          <w:rFonts w:ascii="Arial" w:cs="Arial" w:eastAsia="Arial" w:hAnsi="Arial"/>
          <w:sz w:val="24"/>
          <w:szCs w:val="24"/>
          <w:color w:val="auto"/>
          <w:vertAlign w:val="superscript"/>
        </w:rPr>
      </w:pPr>
    </w:p>
    <w:p>
      <w:pPr>
        <w:ind w:left="960" w:hanging="316"/>
        <w:spacing w:after="0" w:line="186" w:lineRule="auto"/>
        <w:tabs>
          <w:tab w:leader="none" w:pos="960" w:val="left"/>
        </w:tabs>
        <w:numPr>
          <w:ilvl w:val="0"/>
          <w:numId w:val="32"/>
        </w:numPr>
        <w:rPr>
          <w:rFonts w:ascii="Arial" w:cs="Arial" w:eastAsia="Arial" w:hAnsi="Arial"/>
          <w:sz w:val="24"/>
          <w:szCs w:val="24"/>
          <w:color w:val="auto"/>
          <w:vertAlign w:val="superscript"/>
        </w:rPr>
      </w:pPr>
      <w:r>
        <w:rPr>
          <w:rFonts w:ascii="Arial" w:cs="Arial" w:eastAsia="Arial" w:hAnsi="Arial"/>
          <w:sz w:val="15"/>
          <w:szCs w:val="15"/>
          <w:color w:val="auto"/>
        </w:rPr>
        <w:t>Inputs that are derived principally from or corroborated by other observable market data.</w:t>
      </w:r>
    </w:p>
    <w:p>
      <w:pPr>
        <w:spacing w:after="0" w:line="137" w:lineRule="exact"/>
        <w:rPr>
          <w:sz w:val="20"/>
          <w:szCs w:val="20"/>
          <w:color w:val="auto"/>
        </w:rPr>
      </w:pPr>
    </w:p>
    <w:p>
      <w:pPr>
        <w:ind w:left="480" w:right="140"/>
        <w:spacing w:after="0" w:line="22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2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December 31, 2019 and 2018 according to the valuation techniques the Company uses to determine their fair values. There have been no transfers of assets among the fair value hierarchies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6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Pricing</w:t>
            </w:r>
          </w:p>
        </w:tc>
        <w:tc>
          <w:tcPr>
            <w:tcW w:w="540" w:type="dxa"/>
            <w:vAlign w:val="bottom"/>
          </w:tcPr>
          <w:p>
            <w:pPr>
              <w:spacing w:after="0"/>
              <w:rPr>
                <w:sz w:val="19"/>
                <w:szCs w:val="19"/>
                <w:color w:val="auto"/>
              </w:rPr>
            </w:pPr>
          </w:p>
        </w:tc>
        <w:tc>
          <w:tcPr>
            <w:tcW w:w="17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Fair Value at</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gridSpan w:val="2"/>
          </w:tcPr>
          <w:p>
            <w:pPr>
              <w:jc w:val="center"/>
              <w:ind w:right="140"/>
              <w:spacing w:after="0" w:line="203" w:lineRule="exact"/>
              <w:rPr>
                <w:sz w:val="20"/>
                <w:szCs w:val="20"/>
                <w:color w:val="auto"/>
              </w:rPr>
            </w:pPr>
            <w:r>
              <w:rPr>
                <w:rFonts w:ascii="Arial" w:cs="Arial" w:eastAsia="Arial" w:hAnsi="Arial"/>
                <w:sz w:val="18"/>
                <w:szCs w:val="18"/>
                <w:color w:val="auto"/>
                <w:w w:val="90"/>
              </w:rPr>
              <w:t>Category</w:t>
            </w:r>
          </w:p>
        </w:tc>
        <w:tc>
          <w:tcPr>
            <w:tcW w:w="1500" w:type="dxa"/>
            <w:vAlign w:val="bottom"/>
            <w:gridSpan w:val="2"/>
          </w:tcPr>
          <w:p>
            <w:pPr>
              <w:ind w:left="20"/>
              <w:spacing w:after="0" w:line="203" w:lineRule="exact"/>
              <w:rPr>
                <w:sz w:val="20"/>
                <w:szCs w:val="20"/>
                <w:color w:val="auto"/>
              </w:rPr>
            </w:pPr>
            <w:r>
              <w:rPr>
                <w:rFonts w:ascii="Arial" w:cs="Arial" w:eastAsia="Arial" w:hAnsi="Arial"/>
                <w:sz w:val="18"/>
                <w:szCs w:val="18"/>
                <w:color w:val="auto"/>
                <w:w w:val="92"/>
              </w:rPr>
              <w:t>December 31, 2019</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Level 1</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9,104</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Level 1</w:t>
            </w:r>
          </w:p>
        </w:tc>
        <w:tc>
          <w:tcPr>
            <w:tcW w:w="54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8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216" w:lineRule="exact"/>
        <w:rPr>
          <w:sz w:val="20"/>
          <w:szCs w:val="20"/>
          <w:color w:val="auto"/>
        </w:rPr>
      </w:pPr>
    </w:p>
    <w:p>
      <w:pPr>
        <w:ind w:left="640" w:right="60" w:hanging="320"/>
        <w:spacing w:after="0" w:line="180" w:lineRule="auto"/>
        <w:tabs>
          <w:tab w:leader="none" w:pos="6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The carrying amount approximates fair value.</w:t>
      </w:r>
    </w:p>
    <w:p>
      <w:pPr>
        <w:spacing w:after="0" w:line="40" w:lineRule="exact"/>
        <w:rPr>
          <w:rFonts w:ascii="Arial" w:cs="Arial" w:eastAsia="Arial" w:hAnsi="Arial"/>
          <w:sz w:val="29"/>
          <w:szCs w:val="29"/>
          <w:color w:val="auto"/>
          <w:vertAlign w:val="superscript"/>
        </w:rPr>
      </w:pPr>
    </w:p>
    <w:p>
      <w:pPr>
        <w:ind w:left="640" w:right="80" w:hanging="320"/>
        <w:spacing w:after="0" w:line="186" w:lineRule="auto"/>
        <w:tabs>
          <w:tab w:leader="none" w:pos="6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are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use for current operations. The value was measured using quoted market prices in active markets. The carrying amount approximates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w:t>
      </w:r>
    </w:p>
    <w:p>
      <w:pPr>
        <w:ind w:right="20"/>
        <w:spacing w:after="0" w:line="210" w:lineRule="auto"/>
        <w:rPr>
          <w:sz w:val="20"/>
          <w:szCs w:val="20"/>
          <w:color w:val="auto"/>
        </w:rPr>
      </w:pPr>
      <w:r>
        <w:rPr>
          <w:rFonts w:ascii="Arial" w:cs="Arial" w:eastAsia="Arial" w:hAnsi="Arial"/>
          <w:sz w:val="18"/>
          <w:szCs w:val="18"/>
          <w:color w:val="auto"/>
        </w:rPr>
        <w:t>basis. Property, plant and equipment is measured at fair value when an impairment is recognized and the related assets are written down to fair value. During the years ended December 31, 2018 and 2017, the Company identified property, plant and equipment that would be disposed of prior to the end of their useful lives, which resulted in the recognition of a $0.7 million and $1.1 million charge to write-down these assets to their estimated fair value, respectively. The Company measured the fair value of these assets based on projected cash flows and an estimated risk-adjusted rate of return. Projected cash flows are considered level 3 inputs. No impairment charges were recorded during the year ended December 31, 2019.</w:t>
      </w:r>
    </w:p>
    <w:p>
      <w:pPr>
        <w:spacing w:after="0" w:line="12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 carrying value of the Company’s borrowings under its credit agreement approximates fair value based upon level 2 inputs of the market interest rates available to the Company for debt obligations with similar risks and maturities.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On July 9, 2018, Fumitake Nishi, a former Company employee and the brother-in-law of Robert A. Rucker, our former Interim Chief Executive Officer and President, and former member of the Company’s Board, informed the Company he had reacquired a majority of the equity of one of its key vendors, Nanyang Helin Stone Co. Ltd (“Nanyang”). Nanyang supplies the Company with natural stone products including hand-crafted mosaics, listellos and other accessories. During the years ended December 31, 2019, 2018 and 2017, the Company purchased $5.1 million, $12.0 million, and $12.8 million of products from Nanyang, respectively. As of December 31, 2019 and 2018, the accounts payable due to Nanyang was $1.4 million and $1.2 million, respectively.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26"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has and will continue to review future purchases from Nanyang and compare the pricing for products purchased from Nanyang to the pricing of same or similar products purchased from unrelated vendors.</w:t>
      </w:r>
    </w:p>
    <w:p>
      <w:pPr>
        <w:spacing w:after="0" w:line="11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Company employed Adam Rucker, son of Robert A. Rucker, our former Interim Chief Executive Officer and President, and former member of our Board of Directors, as a Director of Information Technology through December 12, 2018. He was paid $29,025 severance in 2019. In fiscal years 2018 and 2017, the Company paid Adam Rucker a total of $112,000 and $120,000, respectively. Adam Rucker also received the standard benefits provided to other Company employees during fiscal years 2018 and 2017.</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48"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Basic earnings per share is calculated by dividing net income by the weighted-average number of shares outstanding during the period. Diluted earnings per share is calculated by dividing net income by the weighted-average number of common shares outstanding, after taking into consideration all dilutive potential common shares outstanding during the period. However, these shares have been excluded from the calculation of diluted net loss per share of the year ended December 31, 2019, as their effect was antidilutive as a result of the net loss incurred for that period. Therefore, dilutive weighted average number of shares outstanding and diluted net loss per share were the same as basic weighted average number of shares outstanding and basic net loss per share for the year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calculated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169"/>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gridSpan w:val="5"/>
          </w:tcPr>
          <w:p>
            <w:pPr>
              <w:jc w:val="right"/>
              <w:ind w:right="210"/>
              <w:spacing w:after="0" w:line="169" w:lineRule="exact"/>
              <w:rPr>
                <w:sz w:val="20"/>
                <w:szCs w:val="20"/>
                <w:color w:val="auto"/>
              </w:rPr>
            </w:pPr>
            <w:r>
              <w:rPr>
                <w:rFonts w:ascii="Arial" w:cs="Arial" w:eastAsia="Arial" w:hAnsi="Arial"/>
                <w:sz w:val="18"/>
                <w:szCs w:val="18"/>
                <w:color w:val="auto"/>
                <w:w w:val="89"/>
              </w:rPr>
              <w:t>(in thousands, except share and per share data)</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50,624,309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51,907,619</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51,700,045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stock equivalents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181,541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227,832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shares outstanding - diluted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50,624,309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52,089,160</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51,927,877</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(loss) income per share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Diluted net (loss) income per share</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Antidilutive Shares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2,251,652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1,508,616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445,490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w:t>
      </w:r>
    </w:p>
    <w:p>
      <w:pPr>
        <w:spacing w:after="0" w:line="14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Under the 2012 Omnibus Award Plan, 5,000,000 shares of the Company’s common stock are reserved for issuance pursuant to a variety of stock based compensation awards, including stock options, and restricted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During the years ended December 31, 2019 and 2018,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The assumptions used in the option valuation models are outlined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2019</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5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580" w:type="dxa"/>
            <w:vAlign w:val="bottom"/>
            <w:tcBorders>
              <w:bottom w:val="single" w:sz="8" w:color="auto"/>
            </w:tcBorders>
          </w:tcPr>
          <w:p>
            <w:pPr>
              <w:spacing w:after="0"/>
              <w:rPr>
                <w:sz w:val="17"/>
                <w:szCs w:val="17"/>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2.50%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1.89%</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tcPr>
          <w:p>
            <w:pPr>
              <w:jc w:val="center"/>
              <w:ind w:left="50"/>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56%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55%</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57%</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w:t>
            </w:r>
          </w:p>
        </w:tc>
      </w:tr>
      <w:tr>
        <w:trPr>
          <w:trHeight w:val="257"/>
        </w:trPr>
        <w:tc>
          <w:tcPr>
            <w:tcW w:w="4820" w:type="dxa"/>
            <w:vAlign w:val="bottom"/>
          </w:tcPr>
          <w:p>
            <w:pPr>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4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2%</w:t>
            </w:r>
          </w:p>
        </w:tc>
      </w:tr>
    </w:tbl>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computation of the expected volatility assumptions used in the option valuation models was based on historical volatilities of the Company. The Company used the “simplified” method to calculate the expected term of options granted due to the lack of adequate historical data. The risk-free interest rate was based on the U.S. Treasury yield at the time of grant. The expected dividend yield was determined using the historical dividend payout and a trailing twelve month closing stock price on the grant date. To the extent that actual outcomes differ from the Company's assumptions, the Company is not required to true up grant-date fair value-based expense to final intrinsic values. The weighted average fair value of stock options granted was $2.57, $3.10, and $5.88 during the years ended December 31, 2019, 2018 and 2017, respectively.</w:t>
      </w:r>
    </w:p>
    <w:p>
      <w:pPr>
        <w:spacing w:after="0" w:line="19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Stock based compensation related to options for the years ended December 31, 2019, 2018 and 2017 was $0.7 million, $1.0 million, and $1.9 million, respectively, and was included in selling, general and administrative expenses in the consolidated statements of operations. As of December 31, 2019, the total future compensation cost related to non-vested options not yet recognized in the consolidated statement of operations was $0.9 million and is expected to be recognized over a weighted-average period of 2.3 years.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w w:val="94"/>
              </w:rPr>
              <w:t>The following table summarizes stock option activity:</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 Avg.</w:t>
            </w:r>
          </w:p>
        </w:tc>
        <w:tc>
          <w:tcPr>
            <w:tcW w:w="80" w:type="dxa"/>
            <w:vAlign w:val="bottom"/>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0"/>
              </w:rPr>
              <w:t>Avg. Grant</w:t>
            </w:r>
          </w:p>
        </w:tc>
        <w:tc>
          <w:tcPr>
            <w:tcW w:w="142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Remaining</w:t>
            </w:r>
          </w:p>
        </w:tc>
        <w:tc>
          <w:tcPr>
            <w:tcW w:w="8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rPr>
              <w:t>Shares</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9"/>
              </w:rPr>
              <w:t>Date</w:t>
            </w:r>
          </w:p>
        </w:tc>
        <w:tc>
          <w:tcPr>
            <w:tcW w:w="14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87"/>
              </w:rPr>
              <w:t>Price</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0"/>
              </w:rPr>
              <w:t>Fair Value</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Term (Years)</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2,360,541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305,150</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13.49</w:t>
            </w: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5.88</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Cancelled/Forfeited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(619,755)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176,380</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7.19</w:t>
            </w: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3.10</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Cancelled/Forfeited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(520,865)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334,134</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6.26</w:t>
            </w:r>
          </w:p>
        </w:tc>
        <w:tc>
          <w:tcPr>
            <w:tcW w:w="2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2.57</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Cancelled/Forfeited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(468,219)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December 31, 2019</w:t>
            </w:r>
          </w:p>
        </w:tc>
        <w:tc>
          <w:tcPr>
            <w:tcW w:w="9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902,259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12.60</w:t>
            </w:r>
          </w:p>
        </w:tc>
        <w:tc>
          <w:tcPr>
            <w:tcW w:w="260" w:type="dxa"/>
            <w:vAlign w:val="bottom"/>
            <w:tcBorders>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6.03</w:t>
            </w: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Vested and expected to vest, December 31, 2019</w:t>
            </w:r>
          </w:p>
        </w:tc>
        <w:tc>
          <w:tcPr>
            <w:tcW w:w="90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1,253,994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11.34</w:t>
            </w:r>
          </w:p>
        </w:tc>
        <w:tc>
          <w:tcPr>
            <w:tcW w:w="260" w:type="dxa"/>
            <w:vAlign w:val="bottom"/>
            <w:tcBorders>
              <w:bottom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5.31</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is the difference between the exercise price and the closing price of the Company’s stock on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exercised during fiscal year 2019.</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right"/>
        <w:ind w:right="340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6"/>
          <w:szCs w:val="16"/>
          <w:color w:val="auto"/>
        </w:rPr>
        <w:t>Notes to Consolidated Financial Statements</w:t>
      </w:r>
    </w:p>
    <w:p>
      <w:pPr>
        <w:sectPr>
          <w:pgSz w:w="11900" w:h="16838" w:orient="portrait"/>
          <w:cols w:equalWidth="0" w:num="1">
            <w:col w:w="9940"/>
          </w:cols>
          <w:pgMar w:left="980" w:top="96" w:right="9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as of December 31, 2019 were as follows:</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Range of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1912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94" w:lineRule="exact"/>
        <w:rPr>
          <w:sz w:val="20"/>
          <w:szCs w:val="20"/>
          <w:color w:val="auto"/>
        </w:rPr>
      </w:pPr>
    </w:p>
    <w:p>
      <w:pPr>
        <w:ind w:left="160"/>
        <w:spacing w:after="0"/>
        <w:tabs>
          <w:tab w:leader="none" w:pos="820" w:val="left"/>
          <w:tab w:leader="none" w:pos="120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$10.00</w:t>
      </w:r>
    </w:p>
    <w:p>
      <w:pPr>
        <w:spacing w:after="0" w:line="23" w:lineRule="exact"/>
        <w:rPr>
          <w:sz w:val="20"/>
          <w:szCs w:val="20"/>
          <w:color w:val="auto"/>
        </w:rPr>
      </w:pPr>
    </w:p>
    <w:p>
      <w:pPr>
        <w:ind w:left="120"/>
        <w:spacing w:after="0"/>
        <w:tabs>
          <w:tab w:leader="none" w:pos="820" w:val="left"/>
          <w:tab w:leader="none" w:pos="1200" w:val="left"/>
        </w:tabs>
        <w:rPr>
          <w:sz w:val="20"/>
          <w:szCs w:val="20"/>
          <w:color w:val="auto"/>
        </w:rPr>
      </w:pPr>
      <w:r>
        <w:rPr>
          <w:rFonts w:ascii="Arial" w:cs="Arial" w:eastAsia="Arial" w:hAnsi="Arial"/>
          <w:sz w:val="18"/>
          <w:szCs w:val="18"/>
          <w:color w:val="auto"/>
        </w:rPr>
        <w:t>$10.01</w:t>
        <w:tab/>
        <w:t>to</w:t>
      </w:r>
      <w:r>
        <w:rPr>
          <w:sz w:val="20"/>
          <w:szCs w:val="20"/>
          <w:color w:val="auto"/>
        </w:rPr>
        <w:tab/>
      </w:r>
      <w:r>
        <w:rPr>
          <w:rFonts w:ascii="Arial" w:cs="Arial" w:eastAsia="Arial" w:hAnsi="Arial"/>
          <w:sz w:val="16"/>
          <w:szCs w:val="16"/>
          <w:color w:val="auto"/>
        </w:rPr>
        <w:t>$15.00</w:t>
      </w:r>
    </w:p>
    <w:p>
      <w:pPr>
        <w:spacing w:after="0" w:line="23" w:lineRule="exact"/>
        <w:rPr>
          <w:sz w:val="20"/>
          <w:szCs w:val="20"/>
          <w:color w:val="auto"/>
        </w:rPr>
      </w:pPr>
    </w:p>
    <w:p>
      <w:pPr>
        <w:ind w:left="120"/>
        <w:spacing w:after="0"/>
        <w:tabs>
          <w:tab w:leader="none" w:pos="820" w:val="left"/>
          <w:tab w:leader="none" w:pos="1200" w:val="left"/>
        </w:tabs>
        <w:rPr>
          <w:sz w:val="20"/>
          <w:szCs w:val="20"/>
          <w:color w:val="auto"/>
        </w:rPr>
      </w:pPr>
      <w:r>
        <w:rPr>
          <w:rFonts w:ascii="Arial" w:cs="Arial" w:eastAsia="Arial" w:hAnsi="Arial"/>
          <w:sz w:val="18"/>
          <w:szCs w:val="18"/>
          <w:color w:val="auto"/>
        </w:rPr>
        <w:t>$15.01</w:t>
        <w:tab/>
        <w:t>to</w:t>
      </w:r>
      <w:r>
        <w:rPr>
          <w:sz w:val="20"/>
          <w:szCs w:val="20"/>
          <w:color w:val="auto"/>
        </w:rPr>
        <w:tab/>
      </w:r>
      <w:r>
        <w:rPr>
          <w:rFonts w:ascii="Arial" w:cs="Arial" w:eastAsia="Arial" w:hAnsi="Arial"/>
          <w:sz w:val="16"/>
          <w:szCs w:val="16"/>
          <w:color w:val="auto"/>
        </w:rPr>
        <w:t>$20.00</w:t>
      </w:r>
    </w:p>
    <w:p>
      <w:pPr>
        <w:spacing w:after="0" w:line="23" w:lineRule="exact"/>
        <w:rPr>
          <w:sz w:val="20"/>
          <w:szCs w:val="20"/>
          <w:color w:val="auto"/>
        </w:rPr>
      </w:pPr>
    </w:p>
    <w:p>
      <w:pPr>
        <w:ind w:left="120"/>
        <w:spacing w:after="0"/>
        <w:tabs>
          <w:tab w:leader="none" w:pos="820" w:val="left"/>
          <w:tab w:leader="none" w:pos="1200" w:val="left"/>
        </w:tabs>
        <w:rPr>
          <w:sz w:val="20"/>
          <w:szCs w:val="20"/>
          <w:color w:val="auto"/>
        </w:rPr>
      </w:pPr>
      <w:r>
        <w:rPr>
          <w:rFonts w:ascii="Arial" w:cs="Arial" w:eastAsia="Arial" w:hAnsi="Arial"/>
          <w:sz w:val="18"/>
          <w:szCs w:val="18"/>
          <w:color w:val="auto"/>
        </w:rPr>
        <w:t>$20.01</w:t>
        <w:tab/>
        <w:t>to</w:t>
      </w:r>
      <w:r>
        <w:rPr>
          <w:sz w:val="20"/>
          <w:szCs w:val="20"/>
          <w:color w:val="auto"/>
        </w:rPr>
        <w:tab/>
      </w:r>
      <w:r>
        <w:rPr>
          <w:rFonts w:ascii="Arial" w:cs="Arial" w:eastAsia="Arial" w:hAnsi="Arial"/>
          <w:sz w:val="16"/>
          <w:szCs w:val="16"/>
          <w:color w:val="auto"/>
        </w:rPr>
        <w:t>$25.00</w:t>
      </w:r>
    </w:p>
    <w:p>
      <w:pPr>
        <w:spacing w:after="0" w:line="23" w:lineRule="exact"/>
        <w:rPr>
          <w:sz w:val="20"/>
          <w:szCs w:val="20"/>
          <w:color w:val="auto"/>
        </w:rPr>
      </w:pPr>
    </w:p>
    <w:p>
      <w:pPr>
        <w:ind w:left="120"/>
        <w:spacing w:after="0"/>
        <w:tabs>
          <w:tab w:leader="none" w:pos="820" w:val="left"/>
          <w:tab w:leader="none" w:pos="1200" w:val="left"/>
        </w:tabs>
        <w:rPr>
          <w:sz w:val="20"/>
          <w:szCs w:val="20"/>
          <w:color w:val="auto"/>
        </w:rPr>
      </w:pPr>
      <w:r>
        <w:rPr>
          <w:rFonts w:ascii="Arial" w:cs="Arial" w:eastAsia="Arial" w:hAnsi="Arial"/>
          <w:sz w:val="18"/>
          <w:szCs w:val="18"/>
          <w:color w:val="auto"/>
        </w:rPr>
        <w:t>$25.01</w:t>
        <w:tab/>
        <w:t>to</w:t>
      </w:r>
      <w:r>
        <w:rPr>
          <w:sz w:val="20"/>
          <w:szCs w:val="20"/>
          <w:color w:val="auto"/>
        </w:rPr>
        <w:tab/>
      </w:r>
      <w:r>
        <w:rPr>
          <w:rFonts w:ascii="Arial" w:cs="Arial" w:eastAsia="Arial" w:hAnsi="Arial"/>
          <w:sz w:val="16"/>
          <w:szCs w:val="16"/>
          <w:color w:val="auto"/>
        </w:rPr>
        <w:t>$30.00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169"/>
        </w:trPr>
        <w:tc>
          <w:tcPr>
            <w:tcW w:w="1120" w:type="dxa"/>
            <w:vAlign w:val="bottom"/>
            <w:vMerge w:val="restart"/>
          </w:tcPr>
          <w:p>
            <w:pPr>
              <w:jc w:val="right"/>
              <w:ind w:right="19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Exercise Price</w:t>
            </w:r>
          </w:p>
        </w:tc>
        <w:tc>
          <w:tcPr>
            <w:tcW w:w="140" w:type="dxa"/>
            <w:vAlign w:val="bottom"/>
            <w:vMerge w:val="restart"/>
          </w:tcPr>
          <w:p>
            <w:pPr>
              <w:spacing w:after="0"/>
              <w:rPr>
                <w:sz w:val="14"/>
                <w:szCs w:val="14"/>
                <w:color w:val="auto"/>
              </w:rPr>
            </w:pPr>
          </w:p>
        </w:tc>
        <w:tc>
          <w:tcPr>
            <w:tcW w:w="198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8"/>
              </w:rPr>
              <w:t>Remaining Contractual</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Life-Years</w:t>
            </w:r>
          </w:p>
        </w:tc>
        <w:tc>
          <w:tcPr>
            <w:tcW w:w="0" w:type="dxa"/>
            <w:vAlign w:val="bottom"/>
          </w:tcPr>
          <w:p>
            <w:pPr>
              <w:spacing w:after="0"/>
              <w:rPr>
                <w:sz w:val="1"/>
                <w:szCs w:val="1"/>
                <w:color w:val="auto"/>
              </w:rPr>
            </w:pPr>
          </w:p>
        </w:tc>
      </w:tr>
      <w:tr>
        <w:trPr>
          <w:trHeight w:val="209"/>
        </w:trPr>
        <w:tc>
          <w:tcPr>
            <w:tcW w:w="1120" w:type="dxa"/>
            <w:vAlign w:val="bottom"/>
          </w:tcPr>
          <w:p>
            <w:pPr>
              <w:jc w:val="right"/>
              <w:spacing w:after="0"/>
              <w:rPr>
                <w:sz w:val="20"/>
                <w:szCs w:val="20"/>
                <w:color w:val="auto"/>
              </w:rPr>
            </w:pPr>
            <w:r>
              <w:rPr>
                <w:rFonts w:ascii="Arial" w:cs="Arial" w:eastAsia="Arial" w:hAnsi="Arial"/>
                <w:sz w:val="18"/>
                <w:szCs w:val="18"/>
                <w:color w:val="auto"/>
              </w:rPr>
              <w:t>753,435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266,959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143,000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57,600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7"/>
        </w:trPr>
        <w:tc>
          <w:tcPr>
            <w:tcW w:w="1120" w:type="dxa"/>
            <w:vAlign w:val="bottom"/>
          </w:tcPr>
          <w:p>
            <w:pPr>
              <w:jc w:val="right"/>
              <w:spacing w:after="0"/>
              <w:rPr>
                <w:sz w:val="20"/>
                <w:szCs w:val="20"/>
                <w:color w:val="auto"/>
              </w:rPr>
            </w:pPr>
            <w:r>
              <w:rPr>
                <w:rFonts w:ascii="Arial" w:cs="Arial" w:eastAsia="Arial" w:hAnsi="Arial"/>
                <w:sz w:val="18"/>
                <w:szCs w:val="18"/>
                <w:color w:val="auto"/>
              </w:rPr>
              <w:t>33,000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29.44</w:t>
            </w:r>
          </w:p>
        </w:tc>
        <w:tc>
          <w:tcPr>
            <w:tcW w:w="1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-745490</wp:posOffset>
            </wp:positionV>
            <wp:extent cx="630936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9360" cy="14605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-454025</wp:posOffset>
            </wp:positionV>
            <wp:extent cx="630936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9360" cy="145415"/>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-162560</wp:posOffset>
            </wp:positionV>
            <wp:extent cx="630936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9360" cy="145415"/>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4600" w:space="720"/>
            <w:col w:w="4620"/>
          </w:cols>
          <w:pgMar w:left="980" w:top="96" w:right="979" w:bottom="1440" w:gutter="0" w:footer="0" w:header="0"/>
          <w:type w:val="continuous"/>
        </w:sectPr>
      </w:pPr>
    </w:p>
    <w:p>
      <w:pPr>
        <w:ind w:right="40"/>
        <w:spacing w:after="0" w:line="293" w:lineRule="auto"/>
        <w:rPr>
          <w:sz w:val="20"/>
          <w:szCs w:val="20"/>
          <w:color w:val="auto"/>
        </w:rPr>
      </w:pPr>
      <w:r>
        <w:rPr>
          <w:rFonts w:ascii="Arial" w:cs="Arial" w:eastAsia="Arial" w:hAnsi="Arial"/>
          <w:sz w:val="16"/>
          <w:szCs w:val="16"/>
          <w:color w:val="auto"/>
        </w:rPr>
        <w:t>The Company awards restricted common shares to selected employees and non-employee directors. Recipients are not required to provide any consideration upon vesting of the award. Restricted share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targets. The restricted common shares are valued at the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76"/>
        </w:trPr>
        <w:tc>
          <w:tcPr>
            <w:tcW w:w="7340" w:type="dxa"/>
            <w:vAlign w:val="bottom"/>
          </w:tcPr>
          <w:p>
            <w:pPr>
              <w:spacing w:after="0"/>
              <w:rPr>
                <w:sz w:val="15"/>
                <w:szCs w:val="15"/>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9"/>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2017</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3"/>
        </w:trPr>
        <w:tc>
          <w:tcPr>
            <w:tcW w:w="734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324,184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(87,849)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9"/>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3"/>
        </w:trPr>
        <w:tc>
          <w:tcPr>
            <w:tcW w:w="734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682,646</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(131,617)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3"/>
        </w:trPr>
        <w:tc>
          <w:tcPr>
            <w:tcW w:w="734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781,697</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(170,677)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(375,879)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2019</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total expense associated with restricted stock for the years ended December 31, 2019, 2018, and 2017 was $1.9 million, $1.7 million, and $1.2 million, respectively. As of December 31, 2019, there was $4.0 million of total unrecognized expense related to unvested restricted stock awards, which are expected to vest, and will be expensed over a weighted-average period of 2.6 years. The fair value of restricted stock granted in fiscal years 2019 and 2018 was $3.4 million and $4.5 million, respectively. The total fair value of restricted stock that vested in fiscal years 2019 and 2018 was $0.7 million and $1.2 million, respectively. Using the closing stock price of $1.69 on December 31, 2019, the number of restricted shares outstanding and expected to vest was 997,658, with an intrinsic value of $1.7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12: Income Taxes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720" w:type="dxa"/>
            <w:vAlign w:val="bottom"/>
          </w:tcPr>
          <w:p>
            <w:pPr>
              <w:spacing w:after="0"/>
              <w:rPr>
                <w:sz w:val="20"/>
                <w:szCs w:val="20"/>
                <w:color w:val="auto"/>
              </w:rPr>
            </w:pPr>
            <w:r>
              <w:rPr>
                <w:rFonts w:ascii="Arial" w:cs="Arial" w:eastAsia="Arial" w:hAnsi="Arial"/>
                <w:sz w:val="18"/>
                <w:szCs w:val="18"/>
                <w:color w:val="auto"/>
                <w:w w:val="96"/>
              </w:rPr>
              <w:t>The components of the provision for income taxes consist of the following:</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0"/>
              <w:spacing w:after="0" w:line="169"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4"/>
        </w:trPr>
        <w:tc>
          <w:tcPr>
            <w:tcW w:w="572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5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8"/>
                <w:szCs w:val="18"/>
                <w:color w:val="auto"/>
              </w:rPr>
              <w:t>Total Current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Total (Benefit) Provision for Income Taxes</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5,158</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Company's income is from domestic operations.</w:t>
      </w:r>
    </w:p>
    <w:p>
      <w:pPr>
        <w:spacing w:after="0"/>
        <w:rPr>
          <w:sz w:val="20"/>
          <w:szCs w:val="20"/>
          <w:color w:val="auto"/>
        </w:rPr>
      </w:pPr>
      <w:r>
        <w:rPr>
          <w:rFonts w:ascii="Arial" w:cs="Arial" w:eastAsia="Arial" w:hAnsi="Arial"/>
          <w:sz w:val="17"/>
          <w:szCs w:val="17"/>
          <w:color w:val="auto"/>
        </w:rPr>
        <w:t>The following table reflects the effective income tax rate reconciliation for the years ended December 31, 2019, 2018 and 2017:</w:t>
      </w:r>
    </w:p>
    <w:p>
      <w:pPr>
        <w:sectPr>
          <w:pgSz w:w="11900" w:h="16838" w:orient="portrait"/>
          <w:cols w:equalWidth="0" w:num="1">
            <w:col w:w="9940"/>
          </w:cols>
          <w:pgMar w:left="980" w:top="96" w:right="97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Tax reform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taxes, net of the federal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Remeasurement of 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credits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Uncollectible state receivables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7"/>
                <w:szCs w:val="17"/>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r>
      <w:tr>
        <w:trPr>
          <w:trHeight w:val="195"/>
        </w:trPr>
        <w:tc>
          <w:tcPr>
            <w:tcW w:w="12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21.0 %</w:t>
            </w:r>
          </w:p>
        </w:tc>
        <w:tc>
          <w:tcPr>
            <w:tcW w:w="140" w:type="dxa"/>
            <w:vAlign w:val="bottom"/>
          </w:tcPr>
          <w:p>
            <w:pPr>
              <w:spacing w:after="0"/>
              <w:rPr>
                <w:sz w:val="16"/>
                <w:szCs w:val="16"/>
                <w:color w:val="auto"/>
              </w:rPr>
            </w:pPr>
          </w:p>
        </w:tc>
        <w:tc>
          <w:tcPr>
            <w:tcW w:w="12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21.0 %</w:t>
            </w:r>
          </w:p>
        </w:tc>
        <w:tc>
          <w:tcPr>
            <w:tcW w:w="160" w:type="dxa"/>
            <w:vAlign w:val="bottom"/>
          </w:tcPr>
          <w:p>
            <w:pPr>
              <w:spacing w:after="0"/>
              <w:rPr>
                <w:sz w:val="16"/>
                <w:szCs w:val="16"/>
                <w:color w:val="auto"/>
              </w:rPr>
            </w:pPr>
          </w:p>
        </w:tc>
        <w:tc>
          <w:tcPr>
            <w:tcW w:w="12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35.0 %</w:t>
            </w:r>
          </w:p>
        </w:tc>
      </w:tr>
      <w:tr>
        <w:trPr>
          <w:trHeight w:val="216"/>
        </w:trPr>
        <w:tc>
          <w:tcPr>
            <w:tcW w:w="12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18.9</w:t>
            </w:r>
          </w:p>
        </w:tc>
      </w:tr>
      <w:tr>
        <w:trPr>
          <w:trHeight w:val="216"/>
        </w:trPr>
        <w:tc>
          <w:tcPr>
            <w:tcW w:w="122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4.1</w:t>
            </w:r>
          </w:p>
        </w:tc>
      </w:tr>
      <w:tr>
        <w:trPr>
          <w:trHeight w:val="216"/>
        </w:trPr>
        <w:tc>
          <w:tcPr>
            <w:tcW w:w="1220" w:type="dxa"/>
            <w:vAlign w:val="bottom"/>
          </w:tcPr>
          <w:p>
            <w:pPr>
              <w:jc w:val="right"/>
              <w:ind w:right="19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(0.1)</w:t>
            </w:r>
          </w:p>
        </w:tc>
      </w:tr>
      <w:tr>
        <w:trPr>
          <w:trHeight w:val="216"/>
        </w:trPr>
        <w:tc>
          <w:tcPr>
            <w:tcW w:w="122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30"/>
        </w:trPr>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(0.8)</w:t>
            </w:r>
          </w:p>
        </w:tc>
      </w:tr>
      <w:tr>
        <w:trPr>
          <w:trHeight w:val="217"/>
        </w:trPr>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13.1 %</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33.1 %</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-1268095</wp:posOffset>
            </wp:positionV>
            <wp:extent cx="630936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9360" cy="145415"/>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-985520</wp:posOffset>
            </wp:positionV>
            <wp:extent cx="63093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-710565</wp:posOffset>
            </wp:positionV>
            <wp:extent cx="630936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-436880</wp:posOffset>
            </wp:positionV>
            <wp:extent cx="63093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9360" cy="13716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-162560</wp:posOffset>
            </wp:positionV>
            <wp:extent cx="630936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9360" cy="15430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300" w:space="720"/>
            <w:col w:w="3920"/>
          </w:cols>
          <w:pgMar w:left="980" w:top="96" w:right="979" w:bottom="1440" w:gutter="0" w:footer="0" w:header="0"/>
          <w:type w:val="continuous"/>
        </w:sectPr>
      </w:pPr>
    </w:p>
    <w:p>
      <w:pPr>
        <w:ind w:right="280"/>
        <w:spacing w:after="0" w:line="259" w:lineRule="auto"/>
        <w:rPr>
          <w:sz w:val="20"/>
          <w:szCs w:val="20"/>
          <w:color w:val="auto"/>
        </w:rPr>
      </w:pPr>
      <w:r>
        <w:rPr>
          <w:rFonts w:ascii="Arial" w:cs="Arial" w:eastAsia="Arial" w:hAnsi="Arial"/>
          <w:sz w:val="18"/>
          <w:szCs w:val="18"/>
          <w:color w:val="auto"/>
        </w:rPr>
        <w:t>The Company’s effective tax rate for 2019 was 13.1%, compared to 33.1% in 2018, a decrease of 20.0%. Income tax expense in 2018 included stock based compensation charges, which increased the Company’s effective tax rate by 7.6%. Income tax benefit in 2019 includes stock based compensation tax shortfall charges and the write-off of uncollectable state receivables, which decreased the Company’s effective tax rate by 12.9%.</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effective tax rate for 2018 was 33.1%, compared to 55.1% in 2017, a decrease of 22.0%. The decrease in the effective tax rate was primarily attributable to the reduction of the U.S. federal statutory tax rate from 35% in 2017 to 21% in 2018 and a charge in 2017 to reduce the value of the Company’s deferred tax assets in accordance with the 2017 Tax Cuts and Jobs Act. Income tax expense in 2018 includes stock based compensation tax shortfall charges, which increased the Company’s effective tax rate by 7.6%.</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Components of net deferred income taxes were as follows at December 31:</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4"/>
        </w:trPr>
        <w:tc>
          <w:tcPr>
            <w:tcW w:w="736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19"/>
                <w:szCs w:val="19"/>
                <w:color w:val="auto"/>
              </w:rPr>
            </w:pPr>
          </w:p>
        </w:tc>
        <w:tc>
          <w:tcPr>
            <w:tcW w:w="2320" w:type="dxa"/>
            <w:vAlign w:val="bottom"/>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21"/>
        </w:trPr>
        <w:tc>
          <w:tcPr>
            <w:tcW w:w="73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743 carryforward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Leasehold improvement reimbursements</w:t>
            </w:r>
            <w:r>
              <w:rPr>
                <w:rFonts w:ascii="Arial" w:cs="Arial" w:eastAsia="Arial" w:hAnsi="Arial"/>
                <w:sz w:val="8"/>
                <w:szCs w:val="8"/>
                <w:color w:val="auto"/>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Deferred rent</w:t>
            </w:r>
            <w:r>
              <w:rPr>
                <w:rFonts w:ascii="Arial" w:cs="Arial" w:eastAsia="Arial" w:hAnsi="Arial"/>
                <w:sz w:val="8"/>
                <w:szCs w:val="8"/>
                <w:color w:val="auto"/>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Operating lease liabilities</w:t>
            </w:r>
            <w:r>
              <w:rPr>
                <w:rFonts w:ascii="Arial" w:cs="Arial" w:eastAsia="Arial" w:hAnsi="Arial"/>
                <w:sz w:val="8"/>
                <w:szCs w:val="8"/>
                <w:color w:val="auto"/>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&amp; credit carryforwards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income tax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r>
              <w:rPr>
                <w:rFonts w:ascii="Arial" w:cs="Arial" w:eastAsia="Arial" w:hAnsi="Arial"/>
                <w:sz w:val="8"/>
                <w:szCs w:val="8"/>
                <w:color w:val="auto"/>
              </w:rPr>
              <w:t>(1)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income tax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0" w:type="dxa"/>
            <w:vAlign w:val="bottom"/>
          </w:tcPr>
          <w:p>
            <w:pPr>
              <w:spacing w:after="0"/>
              <w:rPr>
                <w:sz w:val="1"/>
                <w:szCs w:val="1"/>
                <w:color w:val="auto"/>
              </w:rPr>
            </w:pPr>
          </w:p>
        </w:tc>
      </w:tr>
      <w:tr>
        <w:trPr>
          <w:trHeight w:val="217"/>
        </w:trPr>
        <w:tc>
          <w:tcPr>
            <w:tcW w:w="7360" w:type="dxa"/>
            <w:vAlign w:val="bottom"/>
          </w:tcPr>
          <w:p>
            <w:pPr>
              <w:ind w:left="220"/>
              <w:spacing w:after="0"/>
              <w:rPr>
                <w:sz w:val="20"/>
                <w:szCs w:val="20"/>
                <w:color w:val="auto"/>
              </w:rPr>
            </w:pPr>
            <w:r>
              <w:rPr>
                <w:rFonts w:ascii="Arial" w:cs="Arial" w:eastAsia="Arial" w:hAnsi="Arial"/>
                <w:sz w:val="18"/>
                <w:szCs w:val="18"/>
                <w:color w:val="auto"/>
              </w:rPr>
              <w:t>Net deferred income tax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See Note 1: Summary of Significant Accounting Policies, regarding the impact of the adoption of ASC Topic 842: Leases</w:t>
      </w:r>
    </w:p>
    <w:p>
      <w:pPr>
        <w:spacing w:after="0" w:line="16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As of December 31, 2019, the Company had $3.0 million of federal and $0.5 million of state tax effected net operating losses and tax credit carryovers, with all amounts before limitation impacts and valuation allowances. The federal tax attribute carryovers will expire after twenty years to indefinite carryover period, and the state after five years to indefinite carryover period.</w:t>
      </w:r>
    </w:p>
    <w:p>
      <w:pPr>
        <w:spacing w:after="0" w:line="16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has recognized the tax consequences of all foreign unremitted earnings and management has no specific plans to indefinitely reinvest the unremitted earnings of its foreign subsidiary as of December 31, 2019. As of December 31, 2019, the total undistributed earnings of the Company's non-U.S. subsidiary was approximately $0.4 million. The Company has provided no deferred taxes on withholding taxes, state taxes, and foreign currency gains and losses due on the repatriation of those earnings.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records interest and penalties through income tax relating to uncertain tax positions. As of December 31, 2019, 2018 and 2017, the Company has not recognized any liabilities for uncertain tax positions nor has the Company accrued interest and penalties related to uncertain tax positions.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federal income tax returns for fiscal years 2016 through 2018 tax years are still subject to examination in the U.S. Various state and foreign jurisdiction tax years remain open to examination. The Company believes that any potential assessment would be immaterial to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New Markets Tax Credit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96" w:right="9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CDEs (including loans representing the capital contribution made by U.S. Bank, net of syndication fees) were used to partially fund the distribution center project.</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December 31, 2019, the balance of the contribution liability for this arrangement was $1.8 million, of which $0.4 million was classified as other accrued liabilities on the consolidated balance sheet and $1.4 million was classified as other long-term liabilities on the consolidated balance sheet.</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December 31, 2019, the remaining balance in the Investment Fund was $0.8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Markets Tax Credit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determined that this financing arrangement contains a VIE. The ongoing activities of the Tile Shop Investment Fund LLC</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underlying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contributed $5.6 million, net of syndication fees, to the Investment Fund. The Company incurred $1.2 million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20"/>
          </w:cols>
          <w:pgMar w:left="980" w:top="96"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3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380"/>
        <w:spacing w:after="0"/>
        <w:rPr>
          <w:sz w:val="20"/>
          <w:szCs w:val="20"/>
          <w:color w:val="auto"/>
        </w:rPr>
      </w:pPr>
      <w:r>
        <w:rPr>
          <w:rFonts w:ascii="Arial" w:cs="Arial" w:eastAsia="Arial" w:hAnsi="Arial"/>
          <w:sz w:val="18"/>
          <w:szCs w:val="18"/>
          <w:color w:val="auto"/>
        </w:rPr>
        <w:t>Notes to Consolidated Financial Statements</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syndication fees in connection with this transaction. The Company is recognizing the benefit of this net $4.4 million contribution over the seven-year compliance period as it is being earned through the on-going compliance with the conditions of the NMTC program. As of December 31, 2019, the balance of the contribution liability for this arrangement was $0.4 million, and classified as other accrued liabilities on the consolidated balance sheet.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Retirement Savings Plan</w:t>
      </w:r>
    </w:p>
    <w:p>
      <w:pPr>
        <w:spacing w:after="0" w:line="20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has a 401(k) profit sharing plan covering substantially all full-time employees. Employee contributions are limited to the maximum amount allowable by the Internal Revenue Code. The Company matched $1.6 million, $1.6 million, and $1.4 million of employee contributions in 2019, 2018, and 2017, respectively, and made no discretionary contributions for any of the years presented.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Quarterly Financial Data (Unaudited)</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Quarterly results of operations for the years ended December 31, 2019 and 2018 are summarized below (in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w w:val="96"/>
              </w:rPr>
              <w:t>First Quarter</w:t>
            </w:r>
          </w:p>
        </w:tc>
        <w:tc>
          <w:tcPr>
            <w:tcW w:w="20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w w:val="88"/>
              </w:rPr>
              <w:t>Second Quarter</w:t>
            </w:r>
          </w:p>
        </w:tc>
        <w:tc>
          <w:tcPr>
            <w:tcW w:w="220" w:type="dxa"/>
            <w:vAlign w:val="bottom"/>
          </w:tcPr>
          <w:p>
            <w:pPr>
              <w:spacing w:after="0"/>
              <w:rPr>
                <w:sz w:val="17"/>
                <w:szCs w:val="17"/>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5"/>
              </w:rPr>
              <w:t>Third Quarter</w:t>
            </w:r>
          </w:p>
        </w:tc>
        <w:tc>
          <w:tcPr>
            <w:tcW w:w="20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r>
      <w:tr>
        <w:trPr>
          <w:trHeight w:val="345"/>
        </w:trPr>
        <w:tc>
          <w:tcPr>
            <w:tcW w:w="4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88,903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85,944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78,596</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61,842</w:t>
            </w:r>
          </w:p>
        </w:tc>
        <w:tc>
          <w:tcPr>
            <w:tcW w:w="2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61,360</w:t>
            </w:r>
          </w:p>
        </w:tc>
        <w:tc>
          <w:tcPr>
            <w:tcW w:w="2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59,169</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53,748</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r>
      <w:tr>
        <w:trPr>
          <w:trHeight w:val="175"/>
        </w:trPr>
        <w:tc>
          <w:tcPr>
            <w:tcW w:w="4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00" w:type="dxa"/>
            <w:vAlign w:val="bottom"/>
          </w:tcPr>
          <w:p>
            <w:pPr>
              <w:spacing w:after="0" w:line="176" w:lineRule="exact"/>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92,914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64,038</w:t>
            </w:r>
          </w:p>
        </w:tc>
        <w:tc>
          <w:tcPr>
            <w:tcW w:w="2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65,312</w:t>
            </w:r>
          </w:p>
        </w:tc>
        <w:tc>
          <w:tcPr>
            <w:tcW w:w="2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63,011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58,978</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4,011</w:t>
            </w:r>
          </w:p>
        </w:tc>
        <w:tc>
          <w:tcPr>
            <w:tcW w:w="2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4,958</w:t>
            </w:r>
          </w:p>
        </w:tc>
        <w:tc>
          <w:tcPr>
            <w:tcW w:w="22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2,553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1"/>
                <w:szCs w:val="21"/>
                <w:color w:val="auto"/>
              </w:rPr>
            </w:pPr>
          </w:p>
        </w:tc>
      </w:tr>
      <w:tr>
        <w:trPr>
          <w:trHeight w:val="743"/>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0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TILE SHOP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357"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ind w:left="1260" w:hanging="777"/>
        <w:spacing w:after="0" w:line="203" w:lineRule="auto"/>
        <w:tabs>
          <w:tab w:leader="none" w:pos="1240" w:val="left"/>
        </w:tabs>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2.1</w:t>
        </w:r>
      </w:hyperlink>
      <w:r>
        <w:rPr>
          <w:rFonts w:ascii="Arial" w:cs="Arial" w:eastAsia="Arial" w:hAnsi="Arial"/>
          <w:sz w:val="18"/>
          <w:szCs w:val="18"/>
          <w:u w:val="single" w:color="auto"/>
          <w:color w:val="0000EE"/>
        </w:rPr>
        <w:tab/>
      </w:r>
      <w:hyperlink r:id="rId137">
        <w:r>
          <w:rPr>
            <w:rFonts w:ascii="Arial" w:cs="Arial" w:eastAsia="Arial" w:hAnsi="Arial"/>
            <w:sz w:val="18"/>
            <w:szCs w:val="18"/>
            <w:u w:val="single" w:color="auto"/>
            <w:color w:val="0000EE"/>
          </w:rPr>
          <w:t>Contribution and Merger Agreement, dated June 27, 2012, by and among JWC Acquisition Corp., The Tile Shop,</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LLC, members of The Tile Shop, LLC, Nabron International, Inc., Tile Shop Holdings, Inc., and Tile Shop Merger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Sub, Inc. – incorporated by reference to Exhibit 2.1 to the Current Report on Form 8-K filed by JWC Acquisition Corp.</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on June 27, 2012.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-436245</wp:posOffset>
            </wp:positionV>
            <wp:extent cx="6309360"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309360" cy="445770"/>
                    </a:xfrm>
                    <a:prstGeom prst="rect">
                      <a:avLst/>
                    </a:prstGeom>
                    <a:noFill/>
                  </pic:spPr>
                </pic:pic>
              </a:graphicData>
            </a:graphic>
          </wp:anchor>
        </w:drawing>
      </w:r>
    </w:p>
    <w:p>
      <w:pPr>
        <w:ind w:left="1260" w:right="200" w:hanging="777"/>
        <w:spacing w:after="0" w:line="203" w:lineRule="auto"/>
        <w:tabs>
          <w:tab w:leader="none" w:pos="1240" w:val="left"/>
        </w:tabs>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139">
        <w:r>
          <w:rPr>
            <w:rFonts w:ascii="Arial" w:cs="Arial" w:eastAsia="Arial" w:hAnsi="Arial"/>
            <w:sz w:val="18"/>
            <w:szCs w:val="18"/>
            <w:u w:val="single" w:color="auto"/>
            <w:color w:val="0000EE"/>
          </w:rPr>
          <w:t>Certificate of Incorporation of Tile Shop Holdings, Inc. – incorporated by reference to Exhibit 3.1 to the Registrant’s</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Form S-4 (Reg. No. 333-182482) dated July 2, 2012.</w:t>
        </w:r>
      </w:hyperlink>
    </w:p>
    <w:p>
      <w:pPr>
        <w:ind w:left="480"/>
        <w:spacing w:after="0" w:line="230" w:lineRule="auto"/>
        <w:tabs>
          <w:tab w:leader="none" w:pos="1240" w:val="left"/>
        </w:tabs>
        <w:rPr>
          <w:rFonts w:ascii="Arial" w:cs="Arial" w:eastAsia="Arial" w:hAnsi="Arial"/>
          <w:sz w:val="16"/>
          <w:szCs w:val="16"/>
          <w:u w:val="single" w:color="auto"/>
          <w:color w:val="0000EE"/>
        </w:rPr>
      </w:pPr>
      <w:hyperlink r:id="rId140">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140">
        <w:r>
          <w:rPr>
            <w:rFonts w:ascii="Arial" w:cs="Arial" w:eastAsia="Arial" w:hAnsi="Arial"/>
            <w:sz w:val="16"/>
            <w:szCs w:val="16"/>
            <w:u w:val="single" w:color="auto"/>
            <w:color w:val="0000EE"/>
          </w:rPr>
          <w:t>Bylaws of Tile Shop Holdings, Inc. – incorporated by reference to Exhibit 3.2 to the Registrant’s Form S-4 (Reg.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6309360"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309360" cy="222885"/>
                    </a:xfrm>
                    <a:prstGeom prst="rect">
                      <a:avLst/>
                    </a:prstGeom>
                    <a:noFill/>
                  </pic:spPr>
                </pic:pic>
              </a:graphicData>
            </a:graphic>
          </wp:anchor>
        </w:drawing>
      </w:r>
    </w:p>
    <w:p>
      <w:pPr>
        <w:ind w:left="1260"/>
        <w:spacing w:after="0" w:line="203"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333-182482) dated July 2, 2012.</w:t>
        </w:r>
      </w:hyperlink>
    </w:p>
    <w:p>
      <w:pPr>
        <w:ind w:left="1260" w:right="840" w:hanging="777"/>
        <w:spacing w:after="0" w:line="203" w:lineRule="auto"/>
        <w:tabs>
          <w:tab w:leader="none" w:pos="1240" w:val="left"/>
        </w:tabs>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142">
        <w:r>
          <w:rPr>
            <w:rFonts w:ascii="Arial" w:cs="Arial" w:eastAsia="Arial" w:hAnsi="Arial"/>
            <w:sz w:val="18"/>
            <w:szCs w:val="18"/>
            <w:u w:val="single" w:color="auto"/>
            <w:color w:val="0000EE"/>
          </w:rPr>
          <w:t>Specimen Common Stock Certificate – incorporated by reference to Exhibit 4.1 of Amendment No. 1 to the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Registrant’s Form S-4 (Reg. No. 333-182482) dated July 23, 2012.</w:t>
        </w:r>
      </w:hyperlink>
    </w:p>
    <w:p>
      <w:pPr>
        <w:ind w:left="480"/>
        <w:spacing w:after="0" w:line="230" w:lineRule="auto"/>
        <w:tabs>
          <w:tab w:leader="none" w:pos="1240" w:val="left"/>
        </w:tabs>
        <w:rPr>
          <w:rFonts w:ascii="Arial" w:cs="Arial" w:eastAsia="Arial" w:hAnsi="Arial"/>
          <w:sz w:val="16"/>
          <w:szCs w:val="16"/>
          <w:u w:val="single" w:color="auto"/>
          <w:color w:val="0000EE"/>
        </w:rPr>
      </w:pPr>
      <w:hyperlink w:anchor="page68">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68">
        <w:r>
          <w:rPr>
            <w:rFonts w:ascii="Arial" w:cs="Arial" w:eastAsia="Arial" w:hAnsi="Arial"/>
            <w:sz w:val="16"/>
            <w:szCs w:val="16"/>
            <w:u w:val="single" w:color="auto"/>
            <w:color w:val="0000EE"/>
          </w:rPr>
          <w:t>Description of Tile Shop Holdings, Inc.’s Registered Securities –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6309360"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309360" cy="111760"/>
                    </a:xfrm>
                    <a:prstGeom prst="rect">
                      <a:avLst/>
                    </a:prstGeom>
                    <a:noFill/>
                  </pic:spPr>
                </pic:pic>
              </a:graphicData>
            </a:graphic>
          </wp:anchor>
        </w:drawing>
      </w:r>
    </w:p>
    <w:p>
      <w:pPr>
        <w:ind w:left="1260" w:right="320" w:hanging="867"/>
        <w:spacing w:after="0" w:line="203" w:lineRule="auto"/>
        <w:tabs>
          <w:tab w:leader="none" w:pos="1240" w:val="left"/>
        </w:tabs>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144">
        <w:r>
          <w:rPr>
            <w:rFonts w:ascii="Arial" w:cs="Arial" w:eastAsia="Arial" w:hAnsi="Arial"/>
            <w:sz w:val="18"/>
            <w:szCs w:val="18"/>
            <w:u w:val="single" w:color="auto"/>
            <w:color w:val="0000EE"/>
          </w:rPr>
          <w:t>Tile Shop Holdings, Inc. 2012 Omnibus Award Plan (f/k/a 2012 Equity Award Plan) – incorporated by reference to</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Exhibit 10.1 to the Registrant’s Current Report on Form 8-K filed July 26, 2013.</w:t>
        </w:r>
      </w:hyperlink>
    </w:p>
    <w:p>
      <w:pPr>
        <w:spacing w:after="0" w:line="1" w:lineRule="exact"/>
        <w:rPr>
          <w:rFonts w:ascii="Arial" w:cs="Arial" w:eastAsia="Arial" w:hAnsi="Arial"/>
          <w:sz w:val="18"/>
          <w:szCs w:val="18"/>
          <w:u w:val="single" w:color="auto"/>
          <w:color w:val="0000EE"/>
        </w:rPr>
      </w:pPr>
    </w:p>
    <w:p>
      <w:pPr>
        <w:ind w:left="1260" w:right="180" w:hanging="867"/>
        <w:spacing w:after="0" w:line="203" w:lineRule="auto"/>
        <w:tabs>
          <w:tab w:leader="none" w:pos="1240" w:val="left"/>
        </w:tabs>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145">
        <w:r>
          <w:rPr>
            <w:rFonts w:ascii="Arial" w:cs="Arial" w:eastAsia="Arial" w:hAnsi="Arial"/>
            <w:sz w:val="18"/>
            <w:szCs w:val="18"/>
            <w:u w:val="single" w:color="auto"/>
            <w:color w:val="0000EE"/>
          </w:rPr>
          <w:t>Amended and Restated Amendment No. 1 to the Tile Shop Holdings, Inc. 2012 Omnibus Award Plan (f/k/a 2012</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Equity Award Plan) – incorporated by reference to Exhibit 10.2 to the Registrant’s Current Report on Form 8-K filed</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July 26, 2013.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6309360" cy="3346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309360" cy="334645"/>
                    </a:xfrm>
                    <a:prstGeom prst="rect">
                      <a:avLst/>
                    </a:prstGeom>
                    <a:noFill/>
                  </pic:spPr>
                </pic:pic>
              </a:graphicData>
            </a:graphic>
          </wp:anchor>
        </w:drawing>
      </w:r>
    </w:p>
    <w:p>
      <w:pPr>
        <w:ind w:left="1260" w:right="40" w:hanging="867"/>
        <w:spacing w:after="0" w:line="203" w:lineRule="auto"/>
        <w:tabs>
          <w:tab w:leader="none" w:pos="1240" w:val="left"/>
        </w:tabs>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147">
        <w:r>
          <w:rPr>
            <w:rFonts w:ascii="Arial" w:cs="Arial" w:eastAsia="Arial" w:hAnsi="Arial"/>
            <w:sz w:val="18"/>
            <w:szCs w:val="18"/>
            <w:u w:val="single" w:color="auto"/>
            <w:color w:val="0000EE"/>
          </w:rPr>
          <w:t>Form of Indemnification Agreement by and between Tile Shop Holdings, Inc. and each of its directors and executive</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officers – incorporated by reference to Exhibit 10.13 of Amendment No. 1 to the Registrant’s Form S-4 (Reg. No. 333-</w:t>
        </w:r>
      </w:hyperlink>
      <w:hyperlink r:id="rId147">
        <w:r>
          <w:rPr>
            <w:rFonts w:ascii="Arial" w:cs="Arial" w:eastAsia="Arial" w:hAnsi="Arial"/>
            <w:sz w:val="18"/>
            <w:szCs w:val="18"/>
            <w:u w:val="single" w:color="auto"/>
            <w:color w:val="0000EE"/>
          </w:rPr>
          <w:t>182482) dated July 23, 2012.</w:t>
        </w:r>
      </w:hyperlink>
    </w:p>
    <w:p>
      <w:pPr>
        <w:spacing w:after="0" w:line="1" w:lineRule="exact"/>
        <w:rPr>
          <w:rFonts w:ascii="Arial" w:cs="Arial" w:eastAsia="Arial" w:hAnsi="Arial"/>
          <w:sz w:val="18"/>
          <w:szCs w:val="18"/>
          <w:u w:val="single" w:color="auto"/>
          <w:color w:val="0000EE"/>
        </w:rPr>
      </w:pPr>
    </w:p>
    <w:p>
      <w:pPr>
        <w:ind w:left="1260" w:right="40" w:hanging="867"/>
        <w:spacing w:after="0" w:line="203" w:lineRule="auto"/>
        <w:tabs>
          <w:tab w:leader="none" w:pos="1240" w:val="left"/>
        </w:tabs>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148">
        <w:r>
          <w:rPr>
            <w:rFonts w:ascii="Arial" w:cs="Arial" w:eastAsia="Arial" w:hAnsi="Arial"/>
            <w:sz w:val="18"/>
            <w:szCs w:val="18"/>
            <w:u w:val="single" w:color="auto"/>
            <w:color w:val="0000EE"/>
          </w:rPr>
          <w:t>Tile Shop Holdings, Inc. Form of Incentive Stock Option Agreement – incorporated by reference to Exhibit 10.3 to the</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Registrant’s Current Report on Form 8-K filed July 26, 2013.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6309360"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6309360" cy="222885"/>
                    </a:xfrm>
                    <a:prstGeom prst="rect">
                      <a:avLst/>
                    </a:prstGeom>
                    <a:noFill/>
                  </pic:spPr>
                </pic:pic>
              </a:graphicData>
            </a:graphic>
          </wp:anchor>
        </w:drawing>
      </w:r>
    </w:p>
    <w:p>
      <w:pPr>
        <w:ind w:left="1260" w:right="40" w:hanging="867"/>
        <w:spacing w:after="0" w:line="203" w:lineRule="auto"/>
        <w:tabs>
          <w:tab w:leader="none" w:pos="1240" w:val="left"/>
        </w:tabs>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150">
        <w:r>
          <w:rPr>
            <w:rFonts w:ascii="Arial" w:cs="Arial" w:eastAsia="Arial" w:hAnsi="Arial"/>
            <w:sz w:val="18"/>
            <w:szCs w:val="18"/>
            <w:u w:val="single" w:color="auto"/>
            <w:color w:val="0000EE"/>
          </w:rPr>
          <w:t>Tile Shop Holdings, Inc. Form of Nonstatutory Stock Option Agreement – incorporated by reference to Exhibit 10.4 to</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the Registrant’s Current Report on Form 8-K filed July 26, 2013.</w:t>
        </w:r>
      </w:hyperlink>
    </w:p>
    <w:p>
      <w:pPr>
        <w:spacing w:after="0" w:line="1" w:lineRule="exact"/>
        <w:rPr>
          <w:rFonts w:ascii="Arial" w:cs="Arial" w:eastAsia="Arial" w:hAnsi="Arial"/>
          <w:sz w:val="18"/>
          <w:szCs w:val="18"/>
          <w:u w:val="single" w:color="auto"/>
          <w:color w:val="0000EE"/>
        </w:rPr>
      </w:pPr>
    </w:p>
    <w:p>
      <w:pPr>
        <w:ind w:left="1260" w:right="460" w:hanging="867"/>
        <w:spacing w:after="0" w:line="203" w:lineRule="auto"/>
        <w:tabs>
          <w:tab w:leader="none" w:pos="1240" w:val="left"/>
        </w:tabs>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151">
        <w:r>
          <w:rPr>
            <w:rFonts w:ascii="Arial" w:cs="Arial" w:eastAsia="Arial" w:hAnsi="Arial"/>
            <w:sz w:val="18"/>
            <w:szCs w:val="18"/>
            <w:u w:val="single" w:color="auto"/>
            <w:color w:val="0000EE"/>
          </w:rPr>
          <w:t>Tile Shop Holdings, Inc. Form of Stock Restriction Agreement – incorporated by reference to Exhibit 10.5 to the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Registrant’s Current Report on Form 8-K filed July 26, 2013.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630936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6309360" cy="222885"/>
                    </a:xfrm>
                    <a:prstGeom prst="rect">
                      <a:avLst/>
                    </a:prstGeom>
                    <a:noFill/>
                  </pic:spPr>
                </pic:pic>
              </a:graphicData>
            </a:graphic>
          </wp:anchor>
        </w:drawing>
      </w:r>
    </w:p>
    <w:p>
      <w:pPr>
        <w:ind w:left="1260" w:right="140" w:hanging="867"/>
        <w:spacing w:after="0" w:line="215" w:lineRule="auto"/>
        <w:tabs>
          <w:tab w:leader="none" w:pos="1240" w:val="left"/>
        </w:tabs>
        <w:rPr>
          <w:rFonts w:ascii="Arial" w:cs="Arial" w:eastAsia="Arial" w:hAnsi="Arial"/>
          <w:sz w:val="17"/>
          <w:szCs w:val="17"/>
          <w:u w:val="single" w:color="auto"/>
          <w:color w:val="0000EE"/>
        </w:rPr>
      </w:pPr>
      <w:hyperlink r:id="rId153">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153">
        <w:r>
          <w:rPr>
            <w:rFonts w:ascii="Arial" w:cs="Arial" w:eastAsia="Arial" w:hAnsi="Arial"/>
            <w:sz w:val="17"/>
            <w:szCs w:val="17"/>
            <w:u w:val="single" w:color="auto"/>
            <w:color w:val="0000EE"/>
          </w:rPr>
          <w:t>Offer Letter Agreement, dated June 30, 2014, between Tile Shop Holdings, Inc. and Kirk Geadelmann – incorporated</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by reference to Exhibit 10.1 to the Registrant’s Current Report on Form 8-K filed July 3, 2014.</w:t>
        </w:r>
      </w:hyperlink>
    </w:p>
    <w:p>
      <w:pPr>
        <w:spacing w:after="0" w:line="1" w:lineRule="exact"/>
        <w:rPr>
          <w:rFonts w:ascii="Arial" w:cs="Arial" w:eastAsia="Arial" w:hAnsi="Arial"/>
          <w:sz w:val="18"/>
          <w:szCs w:val="18"/>
          <w:u w:val="single" w:color="auto"/>
          <w:color w:val="0000EE"/>
        </w:rPr>
      </w:pPr>
    </w:p>
    <w:p>
      <w:pPr>
        <w:ind w:left="1260" w:right="80" w:hanging="822"/>
        <w:spacing w:after="0" w:line="203" w:lineRule="auto"/>
        <w:tabs>
          <w:tab w:leader="none" w:pos="1240" w:val="left"/>
        </w:tabs>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154">
        <w:r>
          <w:rPr>
            <w:rFonts w:ascii="Arial" w:cs="Arial" w:eastAsia="Arial" w:hAnsi="Arial"/>
            <w:sz w:val="18"/>
            <w:szCs w:val="18"/>
            <w:u w:val="single" w:color="auto"/>
            <w:color w:val="0000EE"/>
          </w:rPr>
          <w:t>Stipulation of Settlement, among Tile Shop Holdings, Inc., Beaver County Employees’ Retirement Fund and the other</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parties thereto, dated January 13, 2017 – incorporated by reference to Exhibit 10.1 to the Registrant’s Amendment to</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Current Report on Form 8-K filed January 20,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6309360" cy="3340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6309360" cy="334010"/>
                    </a:xfrm>
                    <a:prstGeom prst="rect">
                      <a:avLst/>
                    </a:prstGeom>
                    <a:noFill/>
                  </pic:spPr>
                </pic:pic>
              </a:graphicData>
            </a:graphic>
          </wp:anchor>
        </w:drawing>
      </w:r>
    </w:p>
    <w:p>
      <w:pPr>
        <w:ind w:left="400"/>
        <w:spacing w:after="0" w:line="230" w:lineRule="auto"/>
        <w:tabs>
          <w:tab w:leader="none" w:pos="1240" w:val="left"/>
        </w:tabs>
        <w:rPr>
          <w:rFonts w:ascii="Arial" w:cs="Arial" w:eastAsia="Arial" w:hAnsi="Arial"/>
          <w:sz w:val="16"/>
          <w:szCs w:val="16"/>
          <w:u w:val="single" w:color="auto"/>
          <w:color w:val="0000EE"/>
        </w:rPr>
      </w:pPr>
      <w:hyperlink r:id="rId156">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156">
        <w:r>
          <w:rPr>
            <w:rFonts w:ascii="Arial" w:cs="Arial" w:eastAsia="Arial" w:hAnsi="Arial"/>
            <w:sz w:val="16"/>
            <w:szCs w:val="16"/>
            <w:u w:val="single" w:color="auto"/>
            <w:color w:val="0000EE"/>
          </w:rPr>
          <w:t>Amendment to Offer Letter Agreement, dated April 21, 2017, between Tile Shop Holdings, Inc. and Kirk Geadelmann</w:t>
        </w:r>
      </w:hyperlink>
    </w:p>
    <w:p>
      <w:pPr>
        <w:ind w:left="1260" w:right="240"/>
        <w:spacing w:after="0" w:line="203" w:lineRule="auto"/>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 incorporated by reference to Exhibit 10.3 to the Registrant’s Quarterly Report on Form 10-Q for the quarter ended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March 31, 2017.</w:t>
        </w:r>
      </w:hyperlink>
    </w:p>
    <w:p>
      <w:pPr>
        <w:spacing w:after="0" w:line="1" w:lineRule="exact"/>
        <w:rPr>
          <w:sz w:val="20"/>
          <w:szCs w:val="20"/>
          <w:color w:val="auto"/>
        </w:rPr>
      </w:pPr>
    </w:p>
    <w:p>
      <w:pPr>
        <w:ind w:left="1260" w:right="460" w:hanging="912"/>
        <w:spacing w:after="0" w:line="203" w:lineRule="auto"/>
        <w:tabs>
          <w:tab w:leader="none" w:pos="1240" w:val="left"/>
        </w:tabs>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r:id="rId157">
        <w:r>
          <w:rPr>
            <w:rFonts w:ascii="Arial" w:cs="Arial" w:eastAsia="Arial" w:hAnsi="Arial"/>
            <w:sz w:val="18"/>
            <w:szCs w:val="18"/>
            <w:u w:val="single" w:color="auto"/>
            <w:color w:val="0000EE"/>
          </w:rPr>
          <w:t>Tile Shop Holdings, Inc. Form of Stock Restriction Agreement – incorporated by reference to Exhibit 10.2 to the</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Registrant’s Quarterly Report on Form 10-Q for the quarter ended September 30,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630936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6309360" cy="222885"/>
                    </a:xfrm>
                    <a:prstGeom prst="rect">
                      <a:avLst/>
                    </a:prstGeom>
                    <a:noFill/>
                  </pic:spPr>
                </pic:pic>
              </a:graphicData>
            </a:graphic>
          </wp:anchor>
        </w:drawing>
      </w:r>
    </w:p>
    <w:p>
      <w:pPr>
        <w:ind w:left="1260" w:right="380" w:hanging="909"/>
        <w:spacing w:after="0" w:line="228" w:lineRule="auto"/>
        <w:tabs>
          <w:tab w:leader="none" w:pos="1240" w:val="left"/>
        </w:tabs>
        <w:rPr>
          <w:rFonts w:ascii="Arial" w:cs="Arial" w:eastAsia="Arial" w:hAnsi="Arial"/>
          <w:sz w:val="16"/>
          <w:szCs w:val="16"/>
          <w:u w:val="single" w:color="auto"/>
          <w:color w:val="0000EE"/>
        </w:rPr>
      </w:pPr>
      <w:hyperlink r:id="rId159">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159">
        <w:r>
          <w:rPr>
            <w:rFonts w:ascii="Arial" w:cs="Arial" w:eastAsia="Arial" w:hAnsi="Arial"/>
            <w:sz w:val="16"/>
            <w:szCs w:val="16"/>
            <w:u w:val="single" w:color="auto"/>
            <w:color w:val="0000EE"/>
          </w:rPr>
          <w:t>Employment Agreement, dated February 19, 2018, between Tile Shop Holdings, Inc. and Cabell Lolmaugh –</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incorporated by reference to Exhibit 10.1 to the Registrant’s Current Report on Form 8-K filed February 21, 2018.</w:t>
        </w:r>
      </w:hyperlink>
    </w:p>
    <w:p>
      <w:pPr>
        <w:spacing w:after="0" w:line="1" w:lineRule="exact"/>
        <w:rPr>
          <w:rFonts w:ascii="Arial" w:cs="Arial" w:eastAsia="Arial" w:hAnsi="Arial"/>
          <w:sz w:val="18"/>
          <w:szCs w:val="18"/>
          <w:u w:val="single" w:color="auto"/>
          <w:color w:val="0000EE"/>
        </w:rPr>
      </w:pPr>
    </w:p>
    <w:p>
      <w:pPr>
        <w:ind w:left="1260" w:right="60" w:hanging="867"/>
        <w:spacing w:after="0" w:line="228" w:lineRule="auto"/>
        <w:tabs>
          <w:tab w:leader="none" w:pos="1240" w:val="left"/>
        </w:tabs>
        <w:rPr>
          <w:rFonts w:ascii="Arial" w:cs="Arial" w:eastAsia="Arial" w:hAnsi="Arial"/>
          <w:sz w:val="16"/>
          <w:szCs w:val="16"/>
          <w:u w:val="single" w:color="auto"/>
          <w:color w:val="0000EE"/>
        </w:rPr>
      </w:pPr>
      <w:hyperlink r:id="rId160">
        <w:r>
          <w:rPr>
            <w:rFonts w:ascii="Arial" w:cs="Arial" w:eastAsia="Arial" w:hAnsi="Arial"/>
            <w:sz w:val="18"/>
            <w:szCs w:val="18"/>
            <w:u w:val="single" w:color="auto"/>
            <w:color w:val="0000EE"/>
          </w:rPr>
          <w:t>10.12</w:t>
        </w:r>
      </w:hyperlink>
      <w:r>
        <w:rPr>
          <w:rFonts w:ascii="Arial" w:cs="Arial" w:eastAsia="Arial" w:hAnsi="Arial"/>
          <w:sz w:val="18"/>
          <w:szCs w:val="18"/>
          <w:u w:val="single" w:color="auto"/>
          <w:color w:val="0000EE"/>
        </w:rPr>
        <w:tab/>
      </w:r>
      <w:hyperlink r:id="rId160">
        <w:r>
          <w:rPr>
            <w:rFonts w:ascii="Arial" w:cs="Arial" w:eastAsia="Arial" w:hAnsi="Arial"/>
            <w:sz w:val="16"/>
            <w:szCs w:val="16"/>
            <w:u w:val="single" w:color="auto"/>
            <w:color w:val="0000EE"/>
          </w:rPr>
          <w:t>Credit Agreement, dated as of September 18, 2018, by and among Tile Shop Holdings, Inc., as guarantor, The Tile</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Shop, LLC, Tile Shop Lending, Inc., and certain subsidiaries of The Tile Shop, LLC, as borrowers, each lender from</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time to time party thereto, and Bank of America, N.A., as Administrative Agent, Swing Line Lender and an L/C issuer</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6309360"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6309360" cy="445770"/>
                    </a:xfrm>
                    <a:prstGeom prst="rect">
                      <a:avLst/>
                    </a:prstGeom>
                    <a:noFill/>
                  </pic:spPr>
                </pic:pic>
              </a:graphicData>
            </a:graphic>
          </wp:anchor>
        </w:drawing>
      </w:r>
    </w:p>
    <w:p>
      <w:pPr>
        <w:ind w:left="1260"/>
        <w:spacing w:after="0" w:line="231" w:lineRule="auto"/>
        <w:rPr>
          <w:rFonts w:ascii="Arial" w:cs="Arial" w:eastAsia="Arial" w:hAnsi="Arial"/>
          <w:sz w:val="16"/>
          <w:szCs w:val="16"/>
          <w:u w:val="single" w:color="auto"/>
          <w:color w:val="0000EE"/>
        </w:rPr>
      </w:pPr>
      <w:hyperlink r:id="rId160">
        <w:r>
          <w:rPr>
            <w:rFonts w:ascii="Arial" w:cs="Arial" w:eastAsia="Arial" w:hAnsi="Arial"/>
            <w:sz w:val="16"/>
            <w:szCs w:val="16"/>
            <w:u w:val="single" w:color="auto"/>
            <w:color w:val="0000EE"/>
          </w:rPr>
          <w:t>– incorporated by reference to Exhibit 10.1 to the Registrant’s Current Report on Form 8-K filed September 19, 2018.</w:t>
        </w:r>
      </w:hyperlink>
    </w:p>
    <w:p>
      <w:pPr>
        <w:ind w:left="1260" w:right="180" w:hanging="868"/>
        <w:spacing w:after="0" w:line="203"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10.13</w:t>
        </w:r>
      </w:hyperlink>
      <w:hyperlink r:id="rId162">
        <w:r>
          <w:rPr>
            <w:rFonts w:ascii="Arial" w:cs="Arial" w:eastAsia="Arial" w:hAnsi="Arial"/>
            <w:sz w:val="18"/>
            <w:szCs w:val="18"/>
            <w:u w:val="single" w:color="auto"/>
            <w:color w:val="0000EE"/>
          </w:rPr>
          <w:t>Security Agreement, dated as of September 18, 2018, by and among Tile Shop Holdings, Inc., The Tile Shop, LLC,</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Tile Shop Lending, Inc., and certain subsidiaries of Tile Shop Holdings, Inc. or The Tile Shop, LLC, as grantors, and</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Bank of America, N.A., as Administrative Agent – incorporated by reference to Exhibit 10.2 to the Registrant’s</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Current Report on Form 8-K filed September 19, 2018.</w:t>
        </w:r>
      </w:hyperlink>
    </w:p>
    <w:p>
      <w:pPr>
        <w:spacing w:after="0" w:line="1" w:lineRule="exact"/>
        <w:rPr>
          <w:rFonts w:ascii="Arial" w:cs="Arial" w:eastAsia="Arial" w:hAnsi="Arial"/>
          <w:sz w:val="18"/>
          <w:szCs w:val="18"/>
          <w:u w:val="single" w:color="auto"/>
          <w:color w:val="0000EE"/>
        </w:rPr>
      </w:pPr>
    </w:p>
    <w:p>
      <w:pPr>
        <w:ind w:left="1260" w:right="40" w:hanging="868"/>
        <w:spacing w:after="0" w:line="203" w:lineRule="auto"/>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10.14</w:t>
        </w:r>
      </w:hyperlink>
      <w:hyperlink r:id="rId163">
        <w:r>
          <w:rPr>
            <w:rFonts w:ascii="Arial" w:cs="Arial" w:eastAsia="Arial" w:hAnsi="Arial"/>
            <w:sz w:val="18"/>
            <w:szCs w:val="18"/>
            <w:u w:val="single" w:color="auto"/>
            <w:color w:val="0000EE"/>
          </w:rPr>
          <w:t>Securities Pledge Agreement, dated as of September 18, 2018, by and among Tile Shop Holdings, Inc., The Tile Shop,</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LLC, Tile Shop Lending, Inc., and certain subsidiaries of Tile Shop Holdings, Inc. or The Tile Shop, LLC, as pledgors,</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and Bank of America, N.A., as Administrative Agent – incorporated by reference to Exhibit 10.3 to the Registrant’s</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Current Report on Form 8-K filed September 19, 2018.</w:t>
        </w:r>
      </w:hyperlink>
    </w:p>
    <w:p>
      <w:pPr>
        <w:spacing w:after="0" w:line="1" w:lineRule="exact"/>
        <w:rPr>
          <w:rFonts w:ascii="Arial" w:cs="Arial" w:eastAsia="Arial" w:hAnsi="Arial"/>
          <w:sz w:val="18"/>
          <w:szCs w:val="18"/>
          <w:u w:val="single" w:color="auto"/>
          <w:color w:val="0000EE"/>
        </w:rPr>
      </w:pPr>
    </w:p>
    <w:p>
      <w:pPr>
        <w:ind w:left="1260" w:right="80" w:hanging="868"/>
        <w:spacing w:after="0" w:line="214" w:lineRule="auto"/>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10.15</w:t>
        </w:r>
      </w:hyperlink>
      <w:hyperlink r:id="rId164">
        <w:r>
          <w:rPr>
            <w:rFonts w:ascii="Arial" w:cs="Arial" w:eastAsia="Arial" w:hAnsi="Arial"/>
            <w:sz w:val="18"/>
            <w:szCs w:val="18"/>
            <w:u w:val="single" w:color="auto"/>
            <w:color w:val="0000EE"/>
          </w:rPr>
          <w:t>Guaranty Agreement, dated as of September 18, 2018, by and among Tile Shop Holdings, Inc., The Tile Shop, LLC,</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Tile Shop Lending, Inc., The Tile Shop of Michigan, LLC, and the other guarantors from time to time party thereto, as</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guarantors, and Bank of America, N.A., as Administrative Agent – incorporated by reference to Exhibit 10.4 to the</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Registrant’s Current Report on Form 8-K filed September 19,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-906145</wp:posOffset>
            </wp:positionV>
            <wp:extent cx="6309360" cy="445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309360" cy="445770"/>
                    </a:xfrm>
                    <a:prstGeom prst="rect">
                      <a:avLst/>
                    </a:prstGeom>
                    <a:noFill/>
                  </pic:spPr>
                </pic:pic>
              </a:graphicData>
            </a:graphic>
          </wp:anchor>
        </w:drawing>
      </w:r>
    </w:p>
    <w:p>
      <w:pPr>
        <w:spacing w:after="0" w:line="144"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60"/>
          </w:cols>
          <w:pgMar w:left="980" w:top="112" w:right="1059" w:bottom="1440" w:gutter="0" w:footer="0" w:header="0"/>
        </w:sectPr>
      </w:pPr>
    </w:p>
    <w:bookmarkStart w:id="64" w:name="page65"/>
    <w:bookmarkEnd w:id="6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80" w:type="dxa"/>
            <w:vAlign w:val="bottom"/>
            <w:tcBorders>
              <w:right w:val="single" w:sz="8" w:color="CCEEFF"/>
            </w:tcBorders>
            <w:gridSpan w:val="5"/>
            <w:shd w:val="clear" w:color="auto" w:fill="CCEEFF"/>
          </w:tcPr>
          <w:p>
            <w:pPr>
              <w:jc w:val="center"/>
              <w:ind w:right="100"/>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16*</w:t>
              </w:r>
            </w:hyperlink>
          </w:p>
        </w:tc>
        <w:tc>
          <w:tcPr>
            <w:tcW w:w="8660" w:type="dxa"/>
            <w:vAlign w:val="bottom"/>
            <w:gridSpan w:val="18"/>
            <w:shd w:val="clear" w:color="auto" w:fill="CCEEFF"/>
          </w:tcPr>
          <w:p>
            <w:pPr>
              <w:spacing w:after="0"/>
              <w:rPr>
                <w:rFonts w:ascii="Arial" w:cs="Arial" w:eastAsia="Arial" w:hAnsi="Arial"/>
                <w:sz w:val="18"/>
                <w:szCs w:val="18"/>
                <w:color w:val="0000EE"/>
                <w:w w:val="94"/>
              </w:rPr>
            </w:pPr>
            <w:hyperlink r:id="rId167">
              <w:r>
                <w:rPr>
                  <w:rFonts w:ascii="Arial" w:cs="Arial" w:eastAsia="Arial" w:hAnsi="Arial"/>
                  <w:sz w:val="18"/>
                  <w:szCs w:val="18"/>
                  <w:color w:val="0000EE"/>
                  <w:w w:val="94"/>
                </w:rPr>
                <w:t>Employment Agreement, dated September 6, 2019, by and between Tile Shop Holdings, Inc. and Nancy DiMattia –</w:t>
              </w:r>
            </w:hyperlink>
          </w:p>
        </w:tc>
      </w:tr>
      <w:tr>
        <w:trPr>
          <w:trHeight w:val="155"/>
        </w:trPr>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440" w:type="dxa"/>
            <w:vAlign w:val="bottom"/>
            <w:tcBorders>
              <w:top w:val="single" w:sz="8" w:color="CCEEFF"/>
              <w:right w:val="single" w:sz="8" w:color="CCEEFF"/>
            </w:tcBorders>
            <w:shd w:val="clear" w:color="auto" w:fill="CCEEFF"/>
          </w:tcPr>
          <w:p>
            <w:pPr>
              <w:spacing w:after="0"/>
              <w:rPr>
                <w:sz w:val="13"/>
                <w:szCs w:val="13"/>
                <w:color w:val="auto"/>
              </w:rPr>
            </w:pPr>
          </w:p>
        </w:tc>
        <w:tc>
          <w:tcPr>
            <w:tcW w:w="8440" w:type="dxa"/>
            <w:vAlign w:val="bottom"/>
            <w:tcBorders>
              <w:top w:val="single" w:sz="8" w:color="0000EE"/>
              <w:right w:val="single" w:sz="8" w:color="CCEEFF"/>
            </w:tcBorders>
            <w:gridSpan w:val="17"/>
            <w:shd w:val="clear" w:color="auto" w:fill="CCEEFF"/>
          </w:tcPr>
          <w:p>
            <w:pPr>
              <w:spacing w:after="0" w:line="15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incorporated by reference to Exhibit 10.1 to the Registrant’s Quarterly Report on Form 10-Q for the quarter ended</w:t>
              </w:r>
            </w:hyperlink>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156"/>
        </w:trPr>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right w:val="single" w:sz="8" w:color="CCEEFF"/>
            </w:tcBorders>
            <w:shd w:val="clear" w:color="auto" w:fill="CCEEFF"/>
          </w:tcPr>
          <w:p>
            <w:pPr>
              <w:spacing w:after="0"/>
              <w:rPr>
                <w:sz w:val="13"/>
                <w:szCs w:val="13"/>
                <w:color w:val="auto"/>
              </w:rPr>
            </w:pPr>
          </w:p>
        </w:tc>
        <w:tc>
          <w:tcPr>
            <w:tcW w:w="8200" w:type="dxa"/>
            <w:vAlign w:val="bottom"/>
            <w:tcBorders>
              <w:top w:val="single" w:sz="8" w:color="0000EE"/>
            </w:tcBorders>
            <w:gridSpan w:val="12"/>
            <w:shd w:val="clear" w:color="auto" w:fill="CCEEFF"/>
          </w:tcPr>
          <w:p>
            <w:pPr>
              <w:spacing w:after="0" w:line="156" w:lineRule="exact"/>
              <w:rPr>
                <w:rFonts w:ascii="Arial" w:cs="Arial" w:eastAsia="Arial" w:hAnsi="Arial"/>
                <w:sz w:val="18"/>
                <w:szCs w:val="18"/>
                <w:color w:val="0000EE"/>
              </w:rPr>
            </w:pPr>
            <w:hyperlink r:id="rId167">
              <w:r>
                <w:rPr>
                  <w:rFonts w:ascii="Arial" w:cs="Arial" w:eastAsia="Arial" w:hAnsi="Arial"/>
                  <w:sz w:val="18"/>
                  <w:szCs w:val="18"/>
                  <w:color w:val="0000EE"/>
                </w:rPr>
                <w:t>September 30, 2019.</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55"/>
        </w:trPr>
        <w:tc>
          <w:tcPr>
            <w:tcW w:w="1280" w:type="dxa"/>
            <w:vAlign w:val="bottom"/>
            <w:gridSpan w:val="5"/>
          </w:tcPr>
          <w:p>
            <w:pPr>
              <w:jc w:val="center"/>
              <w:ind w:right="100"/>
              <w:spacing w:after="0" w:line="156"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17*</w:t>
              </w:r>
            </w:hyperlink>
          </w:p>
        </w:tc>
        <w:tc>
          <w:tcPr>
            <w:tcW w:w="8660" w:type="dxa"/>
            <w:vAlign w:val="bottom"/>
            <w:gridSpan w:val="18"/>
          </w:tcPr>
          <w:p>
            <w:pPr>
              <w:spacing w:after="0" w:line="15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Employment Agreement, dated September 6, 2019, by and between the Tile Shop Holdings, Inc. and Mark Davis –</w:t>
              </w:r>
            </w:hyperlink>
          </w:p>
        </w:tc>
      </w:tr>
      <w:tr>
        <w:trPr>
          <w:trHeight w:val="156"/>
        </w:trPr>
        <w:tc>
          <w:tcPr>
            <w:tcW w:w="3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8280" w:type="dxa"/>
            <w:vAlign w:val="bottom"/>
            <w:tcBorders>
              <w:top w:val="single" w:sz="8" w:color="0000EE"/>
            </w:tcBorders>
            <w:gridSpan w:val="14"/>
          </w:tcPr>
          <w:p>
            <w:pPr>
              <w:spacing w:after="0" w:line="15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incorporated by reference to Exhibit 10.2 to the Registrant’s Quarterly Report on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r:id="rId168">
              <w:r>
                <w:rPr>
                  <w:rFonts w:ascii="Arial" w:cs="Arial" w:eastAsia="Arial" w:hAnsi="Arial"/>
                  <w:sz w:val="18"/>
                  <w:szCs w:val="18"/>
                  <w:color w:val="0000EE"/>
                </w:rPr>
                <w:t>September 30, 2019.</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1280" w:type="dxa"/>
            <w:vAlign w:val="bottom"/>
            <w:tcBorders>
              <w:right w:val="single" w:sz="8" w:color="CCEEFF"/>
            </w:tcBorders>
            <w:gridSpan w:val="5"/>
            <w:shd w:val="clear" w:color="auto" w:fill="CCEEFF"/>
          </w:tcPr>
          <w:p>
            <w:pPr>
              <w:jc w:val="center"/>
              <w:ind w:right="100"/>
              <w:spacing w:after="0" w:line="15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18*</w:t>
              </w:r>
            </w:hyperlink>
          </w:p>
        </w:tc>
        <w:tc>
          <w:tcPr>
            <w:tcW w:w="8660" w:type="dxa"/>
            <w:vAlign w:val="bottom"/>
            <w:gridSpan w:val="18"/>
            <w:shd w:val="clear" w:color="auto" w:fill="CCEEFF"/>
          </w:tcPr>
          <w:p>
            <w:pPr>
              <w:spacing w:after="0" w:line="156" w:lineRule="exact"/>
              <w:rPr>
                <w:rFonts w:ascii="Arial" w:cs="Arial" w:eastAsia="Arial" w:hAnsi="Arial"/>
                <w:sz w:val="18"/>
                <w:szCs w:val="18"/>
                <w:color w:val="0000EE"/>
                <w:w w:val="94"/>
              </w:rPr>
            </w:pPr>
            <w:hyperlink r:id="rId169">
              <w:r>
                <w:rPr>
                  <w:rFonts w:ascii="Arial" w:cs="Arial" w:eastAsia="Arial" w:hAnsi="Arial"/>
                  <w:sz w:val="18"/>
                  <w:szCs w:val="18"/>
                  <w:color w:val="0000EE"/>
                  <w:w w:val="94"/>
                </w:rPr>
                <w:t>Amendment to Terms of Employment, dated September 6, 2019, by and between Tile Shop Holdings, Inc. and Kirk</w:t>
              </w:r>
            </w:hyperlink>
          </w:p>
        </w:tc>
      </w:tr>
      <w:tr>
        <w:trPr>
          <w:trHeight w:val="156"/>
        </w:trPr>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440" w:type="dxa"/>
            <w:vAlign w:val="bottom"/>
            <w:tcBorders>
              <w:top w:val="single" w:sz="8" w:color="CCEEFF"/>
              <w:right w:val="single" w:sz="8" w:color="CCEEFF"/>
            </w:tcBorders>
            <w:shd w:val="clear" w:color="auto" w:fill="CCEEFF"/>
          </w:tcPr>
          <w:p>
            <w:pPr>
              <w:spacing w:after="0"/>
              <w:rPr>
                <w:sz w:val="13"/>
                <w:szCs w:val="13"/>
                <w:color w:val="auto"/>
              </w:rPr>
            </w:pPr>
          </w:p>
        </w:tc>
        <w:tc>
          <w:tcPr>
            <w:tcW w:w="8320" w:type="dxa"/>
            <w:vAlign w:val="bottom"/>
            <w:tcBorders>
              <w:top w:val="single" w:sz="8" w:color="0000EE"/>
            </w:tcBorders>
            <w:gridSpan w:val="16"/>
            <w:shd w:val="clear" w:color="auto" w:fill="CCEEFF"/>
          </w:tcPr>
          <w:p>
            <w:pPr>
              <w:spacing w:after="0" w:line="15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Geadelmann – incorporated by reference to Exhibit 10.3 to the Registrant’s Quarterly Report on Form 10-Q for the</w:t>
              </w:r>
            </w:hyperlink>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155"/>
        </w:trPr>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right w:val="single" w:sz="8" w:color="CCEEFF"/>
            </w:tcBorders>
            <w:shd w:val="clear" w:color="auto" w:fill="CCEEFF"/>
          </w:tcPr>
          <w:p>
            <w:pPr>
              <w:spacing w:after="0"/>
              <w:rPr>
                <w:sz w:val="13"/>
                <w:szCs w:val="13"/>
                <w:color w:val="auto"/>
              </w:rPr>
            </w:pPr>
          </w:p>
        </w:tc>
        <w:tc>
          <w:tcPr>
            <w:tcW w:w="8260" w:type="dxa"/>
            <w:vAlign w:val="bottom"/>
            <w:tcBorders>
              <w:top w:val="single" w:sz="8" w:color="0000EE"/>
            </w:tcBorders>
            <w:gridSpan w:val="13"/>
            <w:shd w:val="clear" w:color="auto" w:fill="CCEEFF"/>
          </w:tcPr>
          <w:p>
            <w:pPr>
              <w:spacing w:after="0" w:line="156" w:lineRule="exact"/>
              <w:rPr>
                <w:rFonts w:ascii="Arial" w:cs="Arial" w:eastAsia="Arial" w:hAnsi="Arial"/>
                <w:sz w:val="18"/>
                <w:szCs w:val="18"/>
                <w:color w:val="0000EE"/>
              </w:rPr>
            </w:pPr>
            <w:hyperlink r:id="rId169">
              <w:r>
                <w:rPr>
                  <w:rFonts w:ascii="Arial" w:cs="Arial" w:eastAsia="Arial" w:hAnsi="Arial"/>
                  <w:sz w:val="18"/>
                  <w:szCs w:val="18"/>
                  <w:color w:val="0000EE"/>
                </w:rPr>
                <w:t>quarter ended September 30, 2019.</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56"/>
        </w:trPr>
        <w:tc>
          <w:tcPr>
            <w:tcW w:w="1280" w:type="dxa"/>
            <w:vAlign w:val="bottom"/>
            <w:gridSpan w:val="5"/>
          </w:tcPr>
          <w:p>
            <w:pPr>
              <w:jc w:val="center"/>
              <w:ind w:right="100"/>
              <w:spacing w:after="0" w:line="15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19*</w:t>
              </w:r>
            </w:hyperlink>
          </w:p>
        </w:tc>
        <w:tc>
          <w:tcPr>
            <w:tcW w:w="8660" w:type="dxa"/>
            <w:vAlign w:val="bottom"/>
            <w:gridSpan w:val="18"/>
          </w:tcPr>
          <w:p>
            <w:pPr>
              <w:spacing w:after="0" w:line="15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Agreement Regarding Stock Options, dated December 19, 2019, by and between Tile Shop Holdings, Inc. and Kirk</w:t>
              </w:r>
            </w:hyperlink>
          </w:p>
        </w:tc>
      </w:tr>
      <w:tr>
        <w:trPr>
          <w:trHeight w:val="155"/>
        </w:trPr>
        <w:tc>
          <w:tcPr>
            <w:tcW w:w="3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830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w:anchor="page72">
              <w:r>
                <w:rPr>
                  <w:rFonts w:ascii="Arial" w:cs="Arial" w:eastAsia="Arial" w:hAnsi="Arial"/>
                  <w:sz w:val="18"/>
                  <w:szCs w:val="18"/>
                  <w:color w:val="0000EE"/>
                </w:rPr>
                <w:t>Geadelmann – filed herewith.</w:t>
              </w:r>
            </w:hyperlink>
          </w:p>
        </w:tc>
        <w:tc>
          <w:tcPr>
            <w:tcW w:w="1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840" w:type="dxa"/>
            <w:vAlign w:val="bottom"/>
            <w:gridSpan w:val="4"/>
            <w:shd w:val="clear" w:color="auto" w:fill="CCEEFF"/>
          </w:tcPr>
          <w:p>
            <w:pPr>
              <w:jc w:val="center"/>
              <w:ind w:left="270"/>
              <w:spacing w:after="0" w:line="15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440" w:type="dxa"/>
            <w:vAlign w:val="bottom"/>
            <w:tcBorders>
              <w:right w:val="single" w:sz="8" w:color="CCEEFF"/>
            </w:tcBorders>
            <w:shd w:val="clear" w:color="auto" w:fill="CCEEFF"/>
          </w:tcPr>
          <w:p>
            <w:pPr>
              <w:spacing w:after="0"/>
              <w:rPr>
                <w:sz w:val="13"/>
                <w:szCs w:val="13"/>
                <w:color w:val="auto"/>
              </w:rPr>
            </w:pPr>
          </w:p>
        </w:tc>
        <w:tc>
          <w:tcPr>
            <w:tcW w:w="8660" w:type="dxa"/>
            <w:vAlign w:val="bottom"/>
            <w:gridSpan w:val="18"/>
            <w:shd w:val="clear" w:color="auto" w:fill="CCEEFF"/>
          </w:tcPr>
          <w:p>
            <w:pPr>
              <w:spacing w:after="0" w:line="15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Subsidiaries of Tile Shop Holdings, Inc. – incorporated by reference to Exhibit 21.1 to the Registrant’s Annual Report</w:t>
              </w:r>
            </w:hyperlink>
          </w:p>
        </w:tc>
      </w:tr>
      <w:tr>
        <w:trPr>
          <w:trHeight w:val="156"/>
        </w:trPr>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right w:val="single" w:sz="8" w:color="CCEEFF"/>
            </w:tcBorders>
            <w:shd w:val="clear" w:color="auto" w:fill="CCEEFF"/>
          </w:tcPr>
          <w:p>
            <w:pPr>
              <w:spacing w:after="0"/>
              <w:rPr>
                <w:sz w:val="13"/>
                <w:szCs w:val="13"/>
                <w:color w:val="auto"/>
              </w:rPr>
            </w:pPr>
          </w:p>
        </w:tc>
        <w:tc>
          <w:tcPr>
            <w:tcW w:w="8440" w:type="dxa"/>
            <w:vAlign w:val="bottom"/>
            <w:tcBorders>
              <w:top w:val="single" w:sz="8" w:color="0000EE"/>
              <w:right w:val="single" w:sz="8" w:color="CCEEFF"/>
            </w:tcBorders>
            <w:gridSpan w:val="17"/>
            <w:shd w:val="clear" w:color="auto" w:fill="CCEEFF"/>
          </w:tcPr>
          <w:p>
            <w:pPr>
              <w:spacing w:after="0" w:line="156" w:lineRule="exact"/>
              <w:rPr>
                <w:rFonts w:ascii="Arial" w:cs="Arial" w:eastAsia="Arial" w:hAnsi="Arial"/>
                <w:sz w:val="18"/>
                <w:szCs w:val="18"/>
                <w:color w:val="0000EE"/>
              </w:rPr>
            </w:pPr>
            <w:hyperlink r:id="rId170">
              <w:r>
                <w:rPr>
                  <w:rFonts w:ascii="Arial" w:cs="Arial" w:eastAsia="Arial" w:hAnsi="Arial"/>
                  <w:sz w:val="18"/>
                  <w:szCs w:val="18"/>
                  <w:color w:val="0000EE"/>
                </w:rPr>
                <w:t>on Form 10-K for the year ended December 31, 2017.</w:t>
              </w:r>
            </w:hyperlink>
          </w:p>
        </w:tc>
        <w:tc>
          <w:tcPr>
            <w:tcW w:w="22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55"/>
        </w:trPr>
        <w:tc>
          <w:tcPr>
            <w:tcW w:w="840" w:type="dxa"/>
            <w:vAlign w:val="bottom"/>
            <w:gridSpan w:val="4"/>
          </w:tcPr>
          <w:p>
            <w:pPr>
              <w:jc w:val="center"/>
              <w:ind w:left="270"/>
              <w:spacing w:after="0" w:line="15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440" w:type="dxa"/>
            <w:vAlign w:val="bottom"/>
          </w:tcPr>
          <w:p>
            <w:pPr>
              <w:spacing w:after="0"/>
              <w:rPr>
                <w:sz w:val="13"/>
                <w:szCs w:val="13"/>
                <w:color w:val="auto"/>
              </w:rPr>
            </w:pPr>
          </w:p>
        </w:tc>
        <w:tc>
          <w:tcPr>
            <w:tcW w:w="8660" w:type="dxa"/>
            <w:vAlign w:val="bottom"/>
            <w:gridSpan w:val="18"/>
          </w:tcPr>
          <w:p>
            <w:pPr>
              <w:spacing w:after="0" w:line="156" w:lineRule="exact"/>
              <w:rPr>
                <w:rFonts w:ascii="Arial" w:cs="Arial" w:eastAsia="Arial" w:hAnsi="Arial"/>
                <w:sz w:val="18"/>
                <w:szCs w:val="18"/>
                <w:color w:val="0000EE"/>
              </w:rPr>
            </w:pPr>
            <w:hyperlink w:anchor="page73">
              <w:r>
                <w:rPr>
                  <w:rFonts w:ascii="Arial" w:cs="Arial" w:eastAsia="Arial" w:hAnsi="Arial"/>
                  <w:sz w:val="18"/>
                  <w:szCs w:val="18"/>
                  <w:color w:val="0000EE"/>
                </w:rPr>
                <w:t>Consent of Ernst &amp; Young LLP, independent registered public accounting firm – filed herewith.</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840" w:type="dxa"/>
            <w:vAlign w:val="bottom"/>
            <w:gridSpan w:val="4"/>
            <w:shd w:val="clear" w:color="auto" w:fill="CCEEFF"/>
          </w:tcPr>
          <w:p>
            <w:pPr>
              <w:jc w:val="center"/>
              <w:ind w:left="270"/>
              <w:spacing w:after="0" w:line="15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440" w:type="dxa"/>
            <w:vAlign w:val="bottom"/>
            <w:tcBorders>
              <w:right w:val="single" w:sz="8" w:color="CCEEFF"/>
            </w:tcBorders>
            <w:shd w:val="clear" w:color="auto" w:fill="CCEEFF"/>
          </w:tcPr>
          <w:p>
            <w:pPr>
              <w:spacing w:after="0"/>
              <w:rPr>
                <w:sz w:val="13"/>
                <w:szCs w:val="13"/>
                <w:color w:val="auto"/>
              </w:rPr>
            </w:pPr>
          </w:p>
        </w:tc>
        <w:tc>
          <w:tcPr>
            <w:tcW w:w="8660" w:type="dxa"/>
            <w:vAlign w:val="bottom"/>
            <w:gridSpan w:val="18"/>
            <w:shd w:val="clear" w:color="auto" w:fill="CCEEFF"/>
          </w:tcPr>
          <w:p>
            <w:pPr>
              <w:spacing w:after="0" w:line="156" w:lineRule="exact"/>
              <w:rPr>
                <w:rFonts w:ascii="Arial" w:cs="Arial" w:eastAsia="Arial" w:hAnsi="Arial"/>
                <w:sz w:val="18"/>
                <w:szCs w:val="18"/>
                <w:color w:val="0000EE"/>
              </w:rPr>
            </w:pPr>
            <w:hyperlink w:anchor="page66">
              <w:r>
                <w:rPr>
                  <w:rFonts w:ascii="Arial" w:cs="Arial" w:eastAsia="Arial" w:hAnsi="Arial"/>
                  <w:sz w:val="18"/>
                  <w:szCs w:val="18"/>
                  <w:color w:val="0000EE"/>
                </w:rPr>
                <w:t xml:space="preserve">Power of Attorney (included on the “Signatures” page of this Annual Report on Form 10-K)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filed herewith.</w:t>
            </w:r>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55"/>
        </w:trPr>
        <w:tc>
          <w:tcPr>
            <w:tcW w:w="840" w:type="dxa"/>
            <w:vAlign w:val="bottom"/>
            <w:gridSpan w:val="4"/>
          </w:tcPr>
          <w:p>
            <w:pPr>
              <w:jc w:val="center"/>
              <w:ind w:left="270"/>
              <w:spacing w:after="0" w:line="15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440" w:type="dxa"/>
            <w:vAlign w:val="bottom"/>
          </w:tcPr>
          <w:p>
            <w:pPr>
              <w:spacing w:after="0"/>
              <w:rPr>
                <w:sz w:val="13"/>
                <w:szCs w:val="13"/>
                <w:color w:val="auto"/>
              </w:rPr>
            </w:pPr>
          </w:p>
        </w:tc>
        <w:tc>
          <w:tcPr>
            <w:tcW w:w="8660" w:type="dxa"/>
            <w:vAlign w:val="bottom"/>
            <w:gridSpan w:val="18"/>
          </w:tcPr>
          <w:p>
            <w:pPr>
              <w:spacing w:after="0" w:line="15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Certification by Chief Executive Officer Pursuant to Section 302 of the Sarbanes-Oxley Act of 2002 – filed herewith.</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840" w:type="dxa"/>
            <w:vAlign w:val="bottom"/>
            <w:gridSpan w:val="4"/>
            <w:shd w:val="clear" w:color="auto" w:fill="CCEEFF"/>
          </w:tcPr>
          <w:p>
            <w:pPr>
              <w:jc w:val="center"/>
              <w:ind w:left="270"/>
              <w:spacing w:after="0" w:line="15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440" w:type="dxa"/>
            <w:vAlign w:val="bottom"/>
            <w:tcBorders>
              <w:right w:val="single" w:sz="8" w:color="CCEEFF"/>
            </w:tcBorders>
            <w:shd w:val="clear" w:color="auto" w:fill="CCEEFF"/>
          </w:tcPr>
          <w:p>
            <w:pPr>
              <w:spacing w:after="0"/>
              <w:rPr>
                <w:sz w:val="13"/>
                <w:szCs w:val="13"/>
                <w:color w:val="auto"/>
              </w:rPr>
            </w:pPr>
          </w:p>
        </w:tc>
        <w:tc>
          <w:tcPr>
            <w:tcW w:w="8660" w:type="dxa"/>
            <w:vAlign w:val="bottom"/>
            <w:gridSpan w:val="18"/>
            <w:shd w:val="clear" w:color="auto" w:fill="CCEEFF"/>
          </w:tcPr>
          <w:p>
            <w:pPr>
              <w:spacing w:after="0" w:line="156" w:lineRule="exact"/>
              <w:rPr>
                <w:rFonts w:ascii="Arial" w:cs="Arial" w:eastAsia="Arial" w:hAnsi="Arial"/>
                <w:sz w:val="18"/>
                <w:szCs w:val="18"/>
                <w:color w:val="0000EE"/>
                <w:w w:val="95"/>
              </w:rPr>
            </w:pPr>
            <w:hyperlink w:anchor="page75">
              <w:r>
                <w:rPr>
                  <w:rFonts w:ascii="Arial" w:cs="Arial" w:eastAsia="Arial" w:hAnsi="Arial"/>
                  <w:sz w:val="18"/>
                  <w:szCs w:val="18"/>
                  <w:color w:val="0000EE"/>
                  <w:w w:val="95"/>
                </w:rPr>
                <w:t>Certification by Chief Financial Officer Pursuant to Section 302 of the Sarbanes-Oxley Act of 2002 – filed herewith.</w:t>
              </w:r>
            </w:hyperlink>
          </w:p>
        </w:tc>
      </w:tr>
      <w:tr>
        <w:trPr>
          <w:trHeight w:val="20"/>
        </w:trPr>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r>
      <w:tr>
        <w:trPr>
          <w:trHeight w:val="155"/>
        </w:trPr>
        <w:tc>
          <w:tcPr>
            <w:tcW w:w="1280" w:type="dxa"/>
            <w:vAlign w:val="bottom"/>
            <w:gridSpan w:val="5"/>
          </w:tcPr>
          <w:p>
            <w:pPr>
              <w:jc w:val="center"/>
              <w:ind w:right="100"/>
              <w:spacing w:after="0" w:line="156" w:lineRule="exact"/>
              <w:rPr>
                <w:rFonts w:ascii="Arial" w:cs="Arial" w:eastAsia="Arial" w:hAnsi="Arial"/>
                <w:sz w:val="18"/>
                <w:szCs w:val="18"/>
                <w:color w:val="0000EE"/>
              </w:rPr>
            </w:pPr>
            <w:hyperlink w:anchor="page7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660" w:type="dxa"/>
            <w:vAlign w:val="bottom"/>
            <w:gridSpan w:val="18"/>
          </w:tcPr>
          <w:p>
            <w:pPr>
              <w:spacing w:after="0" w:line="156"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Certification by Chief Executive Officer Pursuant to Section 906 of the Sarbanes-Oxley Act of 2002 – furnished</w:t>
              </w:r>
            </w:hyperlink>
          </w:p>
        </w:tc>
      </w:tr>
      <w:tr>
        <w:trPr>
          <w:trHeight w:val="156"/>
        </w:trPr>
        <w:tc>
          <w:tcPr>
            <w:tcW w:w="3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herewith.</w:t>
              </w:r>
            </w:hyperlink>
          </w:p>
        </w:tc>
        <w:tc>
          <w:tcPr>
            <w:tcW w:w="7400" w:type="dxa"/>
            <w:vAlign w:val="bottom"/>
            <w:tcBorders>
              <w:top w:val="single" w:sz="8" w:color="0000EE"/>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7"/>
          </w:tcPr>
          <w:p>
            <w:pPr>
              <w:spacing w:after="0"/>
              <w:rPr>
                <w:sz w:val="13"/>
                <w:szCs w:val="13"/>
                <w:color w:val="auto"/>
              </w:rPr>
            </w:pPr>
          </w:p>
        </w:tc>
      </w:tr>
      <w:tr>
        <w:trPr>
          <w:trHeight w:val="156"/>
        </w:trPr>
        <w:tc>
          <w:tcPr>
            <w:tcW w:w="1280" w:type="dxa"/>
            <w:vAlign w:val="bottom"/>
            <w:tcBorders>
              <w:right w:val="single" w:sz="8" w:color="CCEEFF"/>
            </w:tcBorders>
            <w:gridSpan w:val="5"/>
            <w:shd w:val="clear" w:color="auto" w:fill="CCEEFF"/>
          </w:tcPr>
          <w:p>
            <w:pPr>
              <w:jc w:val="center"/>
              <w:ind w:right="100"/>
              <w:spacing w:after="0" w:line="156" w:lineRule="exact"/>
              <w:rPr>
                <w:rFonts w:ascii="Arial" w:cs="Arial" w:eastAsia="Arial" w:hAnsi="Arial"/>
                <w:sz w:val="18"/>
                <w:szCs w:val="18"/>
                <w:color w:val="0000EE"/>
              </w:rPr>
            </w:pPr>
            <w:hyperlink w:anchor="page7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660" w:type="dxa"/>
            <w:vAlign w:val="bottom"/>
            <w:gridSpan w:val="18"/>
            <w:shd w:val="clear" w:color="auto" w:fill="CCEEFF"/>
          </w:tcPr>
          <w:p>
            <w:pPr>
              <w:spacing w:after="0" w:line="156"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Certification by Chief Financial Officer Pursuant to Section 906 of the Sarbanes-Oxley Act of 2002 – furnished</w:t>
              </w:r>
            </w:hyperlink>
          </w:p>
        </w:tc>
      </w:tr>
      <w:tr>
        <w:trPr>
          <w:trHeight w:val="155"/>
        </w:trPr>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0000EE"/>
              <w:bottom w:val="single" w:sz="8" w:color="CCEEFF"/>
            </w:tcBorders>
            <w:shd w:val="clear" w:color="auto" w:fill="CCEEFF"/>
          </w:tcPr>
          <w:p>
            <w:pPr>
              <w:spacing w:after="0"/>
              <w:rPr>
                <w:sz w:val="13"/>
                <w:szCs w:val="13"/>
                <w:color w:val="auto"/>
              </w:rPr>
            </w:pPr>
          </w:p>
        </w:tc>
        <w:tc>
          <w:tcPr>
            <w:tcW w:w="320" w:type="dxa"/>
            <w:vAlign w:val="bottom"/>
            <w:tcBorders>
              <w:top w:val="single" w:sz="8" w:color="0000EE"/>
              <w:bottom w:val="single" w:sz="8" w:color="CCEEFF"/>
            </w:tcBorders>
            <w:shd w:val="clear" w:color="auto" w:fill="CCEEFF"/>
          </w:tcPr>
          <w:p>
            <w:pPr>
              <w:spacing w:after="0"/>
              <w:rPr>
                <w:sz w:val="13"/>
                <w:szCs w:val="13"/>
                <w:color w:val="auto"/>
              </w:rPr>
            </w:pPr>
          </w:p>
        </w:tc>
        <w:tc>
          <w:tcPr>
            <w:tcW w:w="80" w:type="dxa"/>
            <w:vAlign w:val="bottom"/>
            <w:tcBorders>
              <w:top w:val="single" w:sz="8" w:color="0000EE"/>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660" w:type="dxa"/>
            <w:vAlign w:val="bottom"/>
            <w:tcBorders>
              <w:top w:val="single" w:sz="8" w:color="0000EE"/>
              <w:bottom w:val="single" w:sz="8" w:color="0000EE"/>
            </w:tcBorders>
            <w:shd w:val="clear" w:color="auto" w:fill="CCEEFF"/>
          </w:tcPr>
          <w:p>
            <w:pPr>
              <w:spacing w:after="0" w:line="15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herewith.</w:t>
              </w:r>
            </w:hyperlink>
          </w:p>
        </w:tc>
        <w:tc>
          <w:tcPr>
            <w:tcW w:w="7360" w:type="dxa"/>
            <w:vAlign w:val="bottom"/>
            <w:tcBorders>
              <w:top w:val="single" w:sz="8" w:color="0000EE"/>
              <w:bottom w:val="single" w:sz="8" w:color="CCEEFF"/>
            </w:tcBorders>
            <w:gridSpan w:val="8"/>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500" w:type="dxa"/>
            <w:vAlign w:val="bottom"/>
            <w:tcBorders>
              <w:top w:val="single" w:sz="8" w:color="CCEEFF"/>
              <w:bottom w:val="single" w:sz="8" w:color="CCEEFF"/>
            </w:tcBorders>
            <w:gridSpan w:val="7"/>
            <w:shd w:val="clear" w:color="auto" w:fill="CCEEFF"/>
          </w:tcPr>
          <w:p>
            <w:pPr>
              <w:spacing w:after="0"/>
              <w:rPr>
                <w:sz w:val="13"/>
                <w:szCs w:val="13"/>
                <w:color w:val="auto"/>
              </w:rPr>
            </w:pPr>
          </w:p>
        </w:tc>
      </w:tr>
      <w:tr>
        <w:trPr>
          <w:trHeight w:val="156"/>
        </w:trPr>
        <w:tc>
          <w:tcPr>
            <w:tcW w:w="840" w:type="dxa"/>
            <w:vAlign w:val="bottom"/>
            <w:gridSpan w:val="4"/>
          </w:tcPr>
          <w:p>
            <w:pPr>
              <w:jc w:val="center"/>
              <w:ind w:left="270"/>
              <w:spacing w:after="0" w:line="15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440" w:type="dxa"/>
            <w:vAlign w:val="bottom"/>
          </w:tcPr>
          <w:p>
            <w:pPr>
              <w:spacing w:after="0"/>
              <w:rPr>
                <w:sz w:val="13"/>
                <w:szCs w:val="13"/>
                <w:color w:val="auto"/>
              </w:rPr>
            </w:pPr>
          </w:p>
        </w:tc>
        <w:tc>
          <w:tcPr>
            <w:tcW w:w="8660" w:type="dxa"/>
            <w:vAlign w:val="bottom"/>
            <w:gridSpan w:val="18"/>
          </w:tcPr>
          <w:p>
            <w:pPr>
              <w:spacing w:after="0" w:line="15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Director Standstill Commitment – incorporated by reference to Exhibit 99.1 to the Registrant’s Current Report on</w:t>
              </w:r>
            </w:hyperlink>
          </w:p>
        </w:tc>
      </w:tr>
      <w:tr>
        <w:trPr>
          <w:trHeight w:val="155"/>
        </w:trPr>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16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r:id="rId171">
              <w:r>
                <w:rPr>
                  <w:rFonts w:ascii="Arial" w:cs="Arial" w:eastAsia="Arial" w:hAnsi="Arial"/>
                  <w:sz w:val="18"/>
                  <w:szCs w:val="18"/>
                  <w:color w:val="0000EE"/>
                </w:rPr>
                <w:t>Form 8-K filed on January 13, 2020.</w:t>
              </w:r>
            </w:hyperlink>
          </w:p>
        </w:tc>
        <w:tc>
          <w:tcPr>
            <w:tcW w:w="500" w:type="dxa"/>
            <w:vAlign w:val="bottom"/>
            <w:gridSpan w:val="7"/>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9"/>
        </w:trPr>
        <w:tc>
          <w:tcPr>
            <w:tcW w:w="1280" w:type="dxa"/>
            <w:vAlign w:val="bottom"/>
            <w:tcBorders>
              <w:right w:val="single" w:sz="8" w:color="CCEEFF"/>
            </w:tcBorders>
            <w:gridSpan w:val="5"/>
            <w:shd w:val="clear" w:color="auto" w:fill="CCEEFF"/>
          </w:tcPr>
          <w:p>
            <w:pPr>
              <w:jc w:val="center"/>
              <w:ind w:right="80"/>
              <w:spacing w:after="0" w:line="169" w:lineRule="exact"/>
              <w:rPr>
                <w:sz w:val="20"/>
                <w:szCs w:val="20"/>
                <w:color w:val="auto"/>
              </w:rPr>
            </w:pPr>
            <w:r>
              <w:rPr>
                <w:rFonts w:ascii="Arial" w:cs="Arial" w:eastAsia="Arial" w:hAnsi="Arial"/>
                <w:sz w:val="18"/>
                <w:szCs w:val="18"/>
                <w:color w:val="auto"/>
                <w:w w:val="92"/>
              </w:rPr>
              <w:t>101.INS</w:t>
            </w:r>
          </w:p>
        </w:tc>
        <w:tc>
          <w:tcPr>
            <w:tcW w:w="8660" w:type="dxa"/>
            <w:vAlign w:val="bottom"/>
            <w:gridSpan w:val="18"/>
            <w:shd w:val="clear" w:color="auto" w:fill="CCEEFF"/>
          </w:tcPr>
          <w:p>
            <w:pPr>
              <w:spacing w:after="0" w:line="169" w:lineRule="exact"/>
              <w:rPr>
                <w:sz w:val="20"/>
                <w:szCs w:val="20"/>
                <w:color w:val="auto"/>
              </w:rPr>
            </w:pPr>
            <w:r>
              <w:rPr>
                <w:rFonts w:ascii="Arial" w:cs="Arial" w:eastAsia="Arial" w:hAnsi="Arial"/>
                <w:sz w:val="18"/>
                <w:szCs w:val="18"/>
                <w:color w:val="auto"/>
              </w:rPr>
              <w:t>XBRL Instance Document – filed herewith.</w:t>
            </w:r>
          </w:p>
        </w:tc>
      </w:tr>
      <w:tr>
        <w:trPr>
          <w:trHeight w:val="176"/>
        </w:trPr>
        <w:tc>
          <w:tcPr>
            <w:tcW w:w="1280" w:type="dxa"/>
            <w:vAlign w:val="bottom"/>
            <w:gridSpan w:val="5"/>
          </w:tcPr>
          <w:p>
            <w:pPr>
              <w:jc w:val="center"/>
              <w:ind w:right="100"/>
              <w:spacing w:after="0" w:line="176" w:lineRule="exact"/>
              <w:rPr>
                <w:sz w:val="20"/>
                <w:szCs w:val="20"/>
                <w:color w:val="auto"/>
              </w:rPr>
            </w:pPr>
            <w:r>
              <w:rPr>
                <w:rFonts w:ascii="Arial" w:cs="Arial" w:eastAsia="Arial" w:hAnsi="Arial"/>
                <w:sz w:val="18"/>
                <w:szCs w:val="18"/>
                <w:color w:val="auto"/>
                <w:w w:val="90"/>
              </w:rPr>
              <w:t>101.SCH</w:t>
            </w:r>
          </w:p>
        </w:tc>
        <w:tc>
          <w:tcPr>
            <w:tcW w:w="8660" w:type="dxa"/>
            <w:vAlign w:val="bottom"/>
            <w:gridSpan w:val="18"/>
          </w:tcPr>
          <w:p>
            <w:pPr>
              <w:spacing w:after="0" w:line="176" w:lineRule="exact"/>
              <w:rPr>
                <w:sz w:val="20"/>
                <w:szCs w:val="20"/>
                <w:color w:val="auto"/>
              </w:rPr>
            </w:pPr>
            <w:r>
              <w:rPr>
                <w:rFonts w:ascii="Arial" w:cs="Arial" w:eastAsia="Arial" w:hAnsi="Arial"/>
                <w:sz w:val="18"/>
                <w:szCs w:val="18"/>
                <w:color w:val="auto"/>
              </w:rPr>
              <w:t>XBRL Taxonomy Extension Schema Document – filed herewith.</w:t>
            </w:r>
          </w:p>
        </w:tc>
      </w:tr>
      <w:tr>
        <w:trPr>
          <w:trHeight w:val="175"/>
        </w:trPr>
        <w:tc>
          <w:tcPr>
            <w:tcW w:w="1280" w:type="dxa"/>
            <w:vAlign w:val="bottom"/>
            <w:tcBorders>
              <w:right w:val="single" w:sz="8" w:color="CCEEFF"/>
            </w:tcBorders>
            <w:gridSpan w:val="5"/>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7"/>
              </w:rPr>
              <w:t>101.CAL</w:t>
            </w:r>
          </w:p>
        </w:tc>
        <w:tc>
          <w:tcPr>
            <w:tcW w:w="86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Calculation Linkbase Document – filed herewith.</w:t>
            </w:r>
          </w:p>
        </w:tc>
      </w:tr>
      <w:tr>
        <w:trPr>
          <w:trHeight w:val="176"/>
        </w:trPr>
        <w:tc>
          <w:tcPr>
            <w:tcW w:w="1280" w:type="dxa"/>
            <w:vAlign w:val="bottom"/>
            <w:gridSpan w:val="5"/>
          </w:tcPr>
          <w:p>
            <w:pPr>
              <w:jc w:val="center"/>
              <w:ind w:right="100"/>
              <w:spacing w:after="0" w:line="176" w:lineRule="exact"/>
              <w:rPr>
                <w:sz w:val="20"/>
                <w:szCs w:val="20"/>
                <w:color w:val="auto"/>
              </w:rPr>
            </w:pPr>
            <w:r>
              <w:rPr>
                <w:rFonts w:ascii="Arial" w:cs="Arial" w:eastAsia="Arial" w:hAnsi="Arial"/>
                <w:sz w:val="18"/>
                <w:szCs w:val="18"/>
                <w:color w:val="auto"/>
                <w:w w:val="92"/>
              </w:rPr>
              <w:t>101.DEF</w:t>
            </w:r>
          </w:p>
        </w:tc>
        <w:tc>
          <w:tcPr>
            <w:tcW w:w="8660" w:type="dxa"/>
            <w:vAlign w:val="bottom"/>
            <w:gridSpan w:val="18"/>
          </w:tcPr>
          <w:p>
            <w:pPr>
              <w:spacing w:after="0" w:line="176" w:lineRule="exact"/>
              <w:rPr>
                <w:sz w:val="20"/>
                <w:szCs w:val="20"/>
                <w:color w:val="auto"/>
              </w:rPr>
            </w:pPr>
            <w:r>
              <w:rPr>
                <w:rFonts w:ascii="Arial" w:cs="Arial" w:eastAsia="Arial" w:hAnsi="Arial"/>
                <w:sz w:val="18"/>
                <w:szCs w:val="18"/>
                <w:color w:val="auto"/>
              </w:rPr>
              <w:t>XBRL Taxonomy Extension Definition Linkbase Document – filed herewith.</w:t>
            </w:r>
          </w:p>
        </w:tc>
      </w:tr>
      <w:tr>
        <w:trPr>
          <w:trHeight w:val="175"/>
        </w:trPr>
        <w:tc>
          <w:tcPr>
            <w:tcW w:w="1280" w:type="dxa"/>
            <w:vAlign w:val="bottom"/>
            <w:tcBorders>
              <w:right w:val="single" w:sz="8" w:color="CCEEFF"/>
            </w:tcBorders>
            <w:gridSpan w:val="5"/>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8"/>
              </w:rPr>
              <w:t>101.LAB</w:t>
            </w:r>
          </w:p>
        </w:tc>
        <w:tc>
          <w:tcPr>
            <w:tcW w:w="866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Label Linkbase Document – filed herewith.</w:t>
            </w:r>
          </w:p>
        </w:tc>
      </w:tr>
      <w:tr>
        <w:trPr>
          <w:trHeight w:val="164"/>
        </w:trPr>
        <w:tc>
          <w:tcPr>
            <w:tcW w:w="1280" w:type="dxa"/>
            <w:vAlign w:val="bottom"/>
            <w:gridSpan w:val="5"/>
          </w:tcPr>
          <w:p>
            <w:pPr>
              <w:jc w:val="center"/>
              <w:ind w:right="80"/>
              <w:spacing w:after="0" w:line="164" w:lineRule="exact"/>
              <w:rPr>
                <w:sz w:val="20"/>
                <w:szCs w:val="20"/>
                <w:color w:val="auto"/>
              </w:rPr>
            </w:pPr>
            <w:r>
              <w:rPr>
                <w:rFonts w:ascii="Arial" w:cs="Arial" w:eastAsia="Arial" w:hAnsi="Arial"/>
                <w:sz w:val="18"/>
                <w:szCs w:val="18"/>
                <w:color w:val="auto"/>
                <w:w w:val="88"/>
              </w:rPr>
              <w:t>101.PRE</w:t>
            </w:r>
          </w:p>
        </w:tc>
        <w:tc>
          <w:tcPr>
            <w:tcW w:w="8660" w:type="dxa"/>
            <w:vAlign w:val="bottom"/>
            <w:gridSpan w:val="18"/>
          </w:tcPr>
          <w:p>
            <w:pPr>
              <w:spacing w:after="0" w:line="164" w:lineRule="exact"/>
              <w:rPr>
                <w:sz w:val="20"/>
                <w:szCs w:val="20"/>
                <w:color w:val="auto"/>
              </w:rPr>
            </w:pPr>
            <w:r>
              <w:rPr>
                <w:rFonts w:ascii="Arial" w:cs="Arial" w:eastAsia="Arial" w:hAnsi="Arial"/>
                <w:sz w:val="18"/>
                <w:szCs w:val="18"/>
                <w:color w:val="auto"/>
              </w:rPr>
              <w:t>XBRL Taxonomy Extension Presentation Linkbase Document – filed herewith.</w:t>
            </w:r>
          </w:p>
        </w:tc>
      </w:tr>
    </w:tbl>
    <w:p>
      <w:pPr>
        <w:ind w:left="4"/>
        <w:spacing w:after="0" w:line="203" w:lineRule="auto"/>
        <w:rPr>
          <w:sz w:val="20"/>
          <w:szCs w:val="20"/>
          <w:color w:val="auto"/>
        </w:rPr>
      </w:pPr>
      <w:r>
        <w:rPr>
          <w:rFonts w:ascii="Arial" w:cs="Arial" w:eastAsia="Arial" w:hAnsi="Arial"/>
          <w:sz w:val="18"/>
          <w:szCs w:val="18"/>
          <w:color w:val="auto"/>
        </w:rPr>
        <w:t>______________________</w:t>
      </w:r>
    </w:p>
    <w:p>
      <w:pPr>
        <w:ind w:left="744" w:hanging="744"/>
        <w:spacing w:after="0" w:line="203" w:lineRule="auto"/>
        <w:tabs>
          <w:tab w:leader="none" w:pos="7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 w:lineRule="exact"/>
        <w:rPr>
          <w:sz w:val="20"/>
          <w:szCs w:val="20"/>
          <w:color w:val="auto"/>
        </w:rPr>
      </w:pPr>
    </w:p>
    <w:p>
      <w:pPr>
        <w:ind w:left="644" w:right="480" w:hanging="644"/>
        <w:spacing w:after="0" w:line="218" w:lineRule="auto"/>
        <w:tabs>
          <w:tab w:leader="none" w:pos="7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certifications are not deemed filed with the Securities and Exchange Commission and are not to be incorporated by reference in any filing we make under the Securities Act of 1933, as amended, or the Securities Exchange Act of 1934, as amended.</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35190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12" w:right="9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TILE SHOP HOLDINGS, INC.</w:t>
      </w:r>
    </w:p>
    <w:p>
      <w:pPr>
        <w:spacing w:after="0" w:line="27" w:lineRule="exact"/>
        <w:rPr>
          <w:sz w:val="20"/>
          <w:szCs w:val="20"/>
          <w:color w:val="auto"/>
        </w:rPr>
      </w:pPr>
    </w:p>
    <w:p>
      <w:pPr>
        <w:ind w:left="5340" w:right="2260" w:hanging="5277"/>
        <w:spacing w:after="0" w:line="273" w:lineRule="auto"/>
        <w:tabs>
          <w:tab w:leader="none" w:pos="532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7"/>
          <w:szCs w:val="17"/>
          <w:color w:val="auto"/>
        </w:rPr>
        <w:t>/s/ CABELL H. LOLMAUGH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-144780</wp:posOffset>
            </wp:positionV>
            <wp:extent cx="22028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35190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00"/>
          </w:cols>
          <w:pgMar w:left="980" w:top="112" w:right="11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17"/>
        <w:spacing w:after="0" w:line="254" w:lineRule="auto"/>
        <w:rPr>
          <w:sz w:val="20"/>
          <w:szCs w:val="20"/>
          <w:color w:val="auto"/>
        </w:rPr>
      </w:pPr>
      <w:r>
        <w:rPr>
          <w:rFonts w:ascii="Arial" w:cs="Arial" w:eastAsia="Arial" w:hAnsi="Arial"/>
          <w:sz w:val="18"/>
          <w:szCs w:val="18"/>
          <w:color w:val="auto"/>
        </w:rPr>
        <w:t>Each person whose signature appears below constitutes CABELL H. LOLMAUGH, NANCY DIMATTIA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w:t>
      </w:r>
    </w:p>
    <w:p>
      <w:pPr>
        <w:spacing w:after="0" w:line="192" w:lineRule="exact"/>
        <w:rPr>
          <w:sz w:val="20"/>
          <w:szCs w:val="20"/>
          <w:color w:val="auto"/>
        </w:rPr>
      </w:pPr>
    </w:p>
    <w:p>
      <w:pPr>
        <w:ind w:right="680" w:firstLine="61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Signature</w:t>
            </w:r>
          </w:p>
        </w:tc>
        <w:tc>
          <w:tcPr>
            <w:tcW w:w="2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18"/>
                <w:szCs w:val="18"/>
                <w:color w:val="auto"/>
              </w:rPr>
            </w:pPr>
          </w:p>
        </w:tc>
      </w:tr>
      <w:tr>
        <w:trPr>
          <w:trHeight w:val="385"/>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CABELL H. LOLMAUGH</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142"/>
        </w:trPr>
        <w:tc>
          <w:tcPr>
            <w:tcW w:w="4140" w:type="dxa"/>
            <w:vAlign w:val="bottom"/>
          </w:tcPr>
          <w:p>
            <w:pPr>
              <w:ind w:left="60"/>
              <w:spacing w:after="0" w:line="142" w:lineRule="exact"/>
              <w:rPr>
                <w:sz w:val="20"/>
                <w:szCs w:val="20"/>
                <w:color w:val="auto"/>
              </w:rPr>
            </w:pPr>
            <w:r>
              <w:rPr>
                <w:rFonts w:ascii="Arial" w:cs="Arial" w:eastAsia="Arial" w:hAnsi="Arial"/>
                <w:sz w:val="16"/>
                <w:szCs w:val="16"/>
                <w:color w:val="auto"/>
              </w:rPr>
              <w:t>Cabell H. Lolmaugh</w:t>
            </w: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4140" w:type="dxa"/>
            <w:vAlign w:val="bottom"/>
          </w:tcPr>
          <w:p>
            <w:pPr>
              <w:ind w:left="60"/>
              <w:spacing w:after="0" w:line="176" w:lineRule="exact"/>
              <w:rPr>
                <w:sz w:val="20"/>
                <w:szCs w:val="20"/>
                <w:color w:val="auto"/>
              </w:rPr>
            </w:pPr>
            <w:r>
              <w:rPr>
                <w:rFonts w:ascii="Arial" w:cs="Arial" w:eastAsia="Arial" w:hAnsi="Arial"/>
                <w:sz w:val="18"/>
                <w:szCs w:val="18"/>
                <w:color w:val="auto"/>
              </w:rPr>
              <w:t>Chief Executive Officer, Director</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1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NANCY DIMATTIA</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142"/>
        </w:trPr>
        <w:tc>
          <w:tcPr>
            <w:tcW w:w="4140" w:type="dxa"/>
            <w:vAlign w:val="bottom"/>
          </w:tcPr>
          <w:p>
            <w:pPr>
              <w:ind w:left="60"/>
              <w:spacing w:after="0" w:line="142" w:lineRule="exact"/>
              <w:rPr>
                <w:sz w:val="20"/>
                <w:szCs w:val="20"/>
                <w:color w:val="auto"/>
              </w:rPr>
            </w:pPr>
            <w:r>
              <w:rPr>
                <w:rFonts w:ascii="Arial" w:cs="Arial" w:eastAsia="Arial" w:hAnsi="Arial"/>
                <w:sz w:val="16"/>
                <w:szCs w:val="16"/>
                <w:color w:val="auto"/>
              </w:rPr>
              <w:t>Nancy DiMattia</w:t>
            </w: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4140" w:type="dxa"/>
            <w:vAlign w:val="bottom"/>
          </w:tcPr>
          <w:p>
            <w:pPr>
              <w:ind w:left="60"/>
              <w:spacing w:after="0" w:line="176" w:lineRule="exact"/>
              <w:rPr>
                <w:sz w:val="20"/>
                <w:szCs w:val="20"/>
                <w:color w:val="auto"/>
              </w:rPr>
            </w:pPr>
            <w:r>
              <w:rPr>
                <w:rFonts w:ascii="Arial" w:cs="Arial" w:eastAsia="Arial" w:hAnsi="Arial"/>
                <w:sz w:val="18"/>
                <w:szCs w:val="18"/>
                <w:color w:val="auto"/>
              </w:rPr>
              <w:t>Senior Vice President and Chief Financial Officer</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1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B. DAVIS</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142"/>
        </w:trPr>
        <w:tc>
          <w:tcPr>
            <w:tcW w:w="4140" w:type="dxa"/>
            <w:vAlign w:val="bottom"/>
          </w:tcPr>
          <w:p>
            <w:pPr>
              <w:ind w:left="60"/>
              <w:spacing w:after="0" w:line="142" w:lineRule="exact"/>
              <w:rPr>
                <w:sz w:val="20"/>
                <w:szCs w:val="20"/>
                <w:color w:val="auto"/>
              </w:rPr>
            </w:pPr>
            <w:r>
              <w:rPr>
                <w:rFonts w:ascii="Arial" w:cs="Arial" w:eastAsia="Arial" w:hAnsi="Arial"/>
                <w:sz w:val="16"/>
                <w:szCs w:val="16"/>
                <w:color w:val="auto"/>
              </w:rPr>
              <w:t>Mark B. Davis</w:t>
            </w: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4140" w:type="dxa"/>
            <w:vAlign w:val="bottom"/>
          </w:tcPr>
          <w:p>
            <w:pPr>
              <w:ind w:left="60"/>
              <w:spacing w:after="0" w:line="176" w:lineRule="exact"/>
              <w:rPr>
                <w:sz w:val="20"/>
                <w:szCs w:val="20"/>
                <w:color w:val="auto"/>
              </w:rPr>
            </w:pPr>
            <w:r>
              <w:rPr>
                <w:rFonts w:ascii="Arial" w:cs="Arial" w:eastAsia="Arial" w:hAnsi="Arial"/>
                <w:sz w:val="18"/>
                <w:szCs w:val="18"/>
                <w:color w:val="auto"/>
              </w:rPr>
              <w:t>Vice President Investor Relations and Chief</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140" w:type="dxa"/>
            <w:vAlign w:val="bottom"/>
          </w:tcPr>
          <w:p>
            <w:pPr>
              <w:ind w:left="60"/>
              <w:spacing w:after="0" w:line="176" w:lineRule="exact"/>
              <w:rPr>
                <w:sz w:val="20"/>
                <w:szCs w:val="20"/>
                <w:color w:val="auto"/>
              </w:rPr>
            </w:pPr>
            <w:r>
              <w:rPr>
                <w:rFonts w:ascii="Arial" w:cs="Arial" w:eastAsia="Arial" w:hAnsi="Arial"/>
                <w:sz w:val="18"/>
                <w:szCs w:val="18"/>
                <w:color w:val="auto"/>
              </w:rPr>
              <w:t>Accounting Officer</w:t>
            </w: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140" w:type="dxa"/>
            <w:vAlign w:val="bottom"/>
          </w:tcPr>
          <w:p>
            <w:pPr>
              <w:ind w:left="60"/>
              <w:spacing w:after="0"/>
              <w:rPr>
                <w:sz w:val="20"/>
                <w:szCs w:val="20"/>
                <w:color w:val="auto"/>
              </w:rPr>
            </w:pPr>
            <w:r>
              <w:rPr>
                <w:rFonts w:ascii="Arial" w:cs="Arial" w:eastAsia="Arial" w:hAnsi="Arial"/>
                <w:sz w:val="18"/>
                <w:szCs w:val="18"/>
                <w:color w:val="auto"/>
              </w:rPr>
              <w:t>(Principal Accounting Officer)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PETER H. KAMIN</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142"/>
        </w:trPr>
        <w:tc>
          <w:tcPr>
            <w:tcW w:w="4140" w:type="dxa"/>
            <w:vAlign w:val="bottom"/>
          </w:tcPr>
          <w:p>
            <w:pPr>
              <w:ind w:left="60"/>
              <w:spacing w:after="0" w:line="142" w:lineRule="exact"/>
              <w:rPr>
                <w:sz w:val="20"/>
                <w:szCs w:val="20"/>
                <w:color w:val="auto"/>
              </w:rPr>
            </w:pPr>
            <w:r>
              <w:rPr>
                <w:rFonts w:ascii="Arial" w:cs="Arial" w:eastAsia="Arial" w:hAnsi="Arial"/>
                <w:sz w:val="16"/>
                <w:szCs w:val="16"/>
                <w:color w:val="auto"/>
              </w:rPr>
              <w:t>Peter H. Kamin</w:t>
            </w:r>
          </w:p>
        </w:tc>
        <w:tc>
          <w:tcPr>
            <w:tcW w:w="2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4140" w:type="dxa"/>
            <w:vAlign w:val="bottom"/>
          </w:tcPr>
          <w:p>
            <w:pPr>
              <w:ind w:left="60"/>
              <w:spacing w:after="0"/>
              <w:rPr>
                <w:sz w:val="20"/>
                <w:szCs w:val="20"/>
                <w:color w:val="auto"/>
              </w:rPr>
            </w:pPr>
            <w:r>
              <w:rPr>
                <w:rFonts w:ascii="Arial" w:cs="Arial" w:eastAsia="Arial" w:hAnsi="Arial"/>
                <w:sz w:val="18"/>
                <w:szCs w:val="18"/>
                <w:color w:val="auto"/>
              </w:rPr>
              <w:t>Director and Chairman of the Board of Directors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3"/>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PETER J. JACULLO</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224"/>
        </w:trPr>
        <w:tc>
          <w:tcPr>
            <w:tcW w:w="4140" w:type="dxa"/>
            <w:vAlign w:val="bottom"/>
          </w:tcPr>
          <w:p>
            <w:pPr>
              <w:ind w:left="60"/>
              <w:spacing w:after="0"/>
              <w:rPr>
                <w:sz w:val="20"/>
                <w:szCs w:val="20"/>
                <w:color w:val="auto"/>
              </w:rPr>
            </w:pPr>
            <w:r>
              <w:rPr>
                <w:rFonts w:ascii="Arial" w:cs="Arial" w:eastAsia="Arial" w:hAnsi="Arial"/>
                <w:sz w:val="18"/>
                <w:szCs w:val="18"/>
                <w:color w:val="auto"/>
              </w:rPr>
              <w:t>Peter J. Jacullo, Director</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6"/>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TODD KRASNOW</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224"/>
        </w:trPr>
        <w:tc>
          <w:tcPr>
            <w:tcW w:w="4140" w:type="dxa"/>
            <w:vAlign w:val="bottom"/>
          </w:tcPr>
          <w:p>
            <w:pPr>
              <w:ind w:left="60"/>
              <w:spacing w:after="0"/>
              <w:rPr>
                <w:sz w:val="20"/>
                <w:szCs w:val="20"/>
                <w:color w:val="auto"/>
              </w:rPr>
            </w:pPr>
            <w:r>
              <w:rPr>
                <w:rFonts w:ascii="Arial" w:cs="Arial" w:eastAsia="Arial" w:hAnsi="Arial"/>
                <w:sz w:val="18"/>
                <w:szCs w:val="18"/>
                <w:color w:val="auto"/>
              </w:rPr>
              <w:t>Todd Krasnow, Director</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6"/>
        </w:trPr>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PHILIP B. LIVINGSTON</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2"/>
              </w:rPr>
              <w:t>March 13, 2020</w:t>
            </w:r>
          </w:p>
        </w:tc>
        <w:tc>
          <w:tcPr>
            <w:tcW w:w="20" w:type="dxa"/>
            <w:vAlign w:val="bottom"/>
          </w:tcPr>
          <w:p>
            <w:pPr>
              <w:spacing w:after="0"/>
              <w:rPr>
                <w:sz w:val="24"/>
                <w:szCs w:val="24"/>
                <w:color w:val="auto"/>
              </w:rPr>
            </w:pPr>
          </w:p>
        </w:tc>
      </w:tr>
      <w:tr>
        <w:trPr>
          <w:trHeight w:val="224"/>
        </w:trPr>
        <w:tc>
          <w:tcPr>
            <w:tcW w:w="4140" w:type="dxa"/>
            <w:vAlign w:val="bottom"/>
          </w:tcPr>
          <w:p>
            <w:pPr>
              <w:ind w:left="60"/>
              <w:spacing w:after="0"/>
              <w:rPr>
                <w:sz w:val="20"/>
                <w:szCs w:val="20"/>
                <w:color w:val="auto"/>
              </w:rPr>
            </w:pPr>
            <w:r>
              <w:rPr>
                <w:rFonts w:ascii="Arial" w:cs="Arial" w:eastAsia="Arial" w:hAnsi="Arial"/>
                <w:sz w:val="18"/>
                <w:szCs w:val="18"/>
                <w:color w:val="auto"/>
              </w:rPr>
              <w:t>Philip B. Livingston, Director</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15"/>
        </w:trPr>
        <w:tc>
          <w:tcPr>
            <w:tcW w:w="4140" w:type="dxa"/>
            <w:vAlign w:val="bottom"/>
          </w:tcPr>
          <w:p>
            <w:pPr>
              <w:spacing w:after="0"/>
              <w:rPr>
                <w:sz w:val="24"/>
                <w:szCs w:val="24"/>
                <w:color w:val="auto"/>
              </w:rPr>
            </w:pPr>
          </w:p>
        </w:tc>
        <w:tc>
          <w:tcPr>
            <w:tcW w:w="2360" w:type="dxa"/>
            <w:vAlign w:val="bottom"/>
          </w:tcPr>
          <w:p>
            <w:pPr>
              <w:jc w:val="right"/>
              <w:ind w:right="135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14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14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67" w:name="page68"/>
    <w:bookmarkEnd w:id="67"/>
    <w:p>
      <w:pPr>
        <w:jc w:val="right"/>
        <w:ind w:right="199"/>
        <w:spacing w:after="0"/>
        <w:rPr>
          <w:sz w:val="20"/>
          <w:szCs w:val="20"/>
          <w:color w:val="auto"/>
        </w:rPr>
      </w:pPr>
      <w:r>
        <w:rPr>
          <w:rFonts w:ascii="Arial" w:cs="Arial" w:eastAsia="Arial" w:hAnsi="Arial"/>
          <w:sz w:val="18"/>
          <w:szCs w:val="18"/>
          <w:b w:val="1"/>
          <w:bCs w:val="1"/>
          <w:color w:val="auto"/>
        </w:rPr>
        <w:t>EXHIBIT 4.2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TILE SHOP HOLDINGS, INC. COMMON STOCK</w:t>
      </w:r>
    </w:p>
    <w:p>
      <w:pPr>
        <w:spacing w:after="0" w:line="148" w:lineRule="exact"/>
        <w:rPr>
          <w:sz w:val="20"/>
          <w:szCs w:val="20"/>
          <w:color w:val="auto"/>
        </w:rPr>
      </w:pPr>
    </w:p>
    <w:p>
      <w:pPr>
        <w:ind w:left="180" w:right="219"/>
        <w:spacing w:after="0" w:line="228" w:lineRule="auto"/>
        <w:rPr>
          <w:sz w:val="20"/>
          <w:szCs w:val="20"/>
          <w:color w:val="auto"/>
        </w:rPr>
      </w:pPr>
      <w:r>
        <w:rPr>
          <w:rFonts w:ascii="Arial" w:cs="Arial" w:eastAsia="Arial" w:hAnsi="Arial"/>
          <w:sz w:val="17"/>
          <w:szCs w:val="17"/>
          <w:i w:val="1"/>
          <w:iCs w:val="1"/>
          <w:color w:val="auto"/>
        </w:rPr>
        <w:t>The following summarizes the terms and provisions of the common stock of Tile Shop Holdings, Inc., a Delaware corporation (the “Company”), which common stock is registered under Section 12 of the Securities Exchange Act of 1934, as amended (the “Exchange Act”). The following summary does not purport to be complete and is qualified in its entirety by reference to the Company’s Certificate of Incorporation and By-Laws, which the Company has previously filed with the Securities and Exchange Commission, and applicable Delaware law.</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Authorized Capital</w:t>
      </w:r>
    </w:p>
    <w:p>
      <w:pPr>
        <w:spacing w:after="0" w:line="148" w:lineRule="exact"/>
        <w:rPr>
          <w:sz w:val="20"/>
          <w:szCs w:val="20"/>
          <w:color w:val="auto"/>
        </w:rPr>
      </w:pPr>
    </w:p>
    <w:p>
      <w:pPr>
        <w:jc w:val="both"/>
        <w:ind w:left="180" w:right="299"/>
        <w:spacing w:after="0" w:line="289" w:lineRule="auto"/>
        <w:rPr>
          <w:sz w:val="20"/>
          <w:szCs w:val="20"/>
          <w:color w:val="auto"/>
        </w:rPr>
      </w:pPr>
      <w:r>
        <w:rPr>
          <w:rFonts w:ascii="Arial" w:cs="Arial" w:eastAsia="Arial" w:hAnsi="Arial"/>
          <w:sz w:val="16"/>
          <w:szCs w:val="16"/>
          <w:color w:val="auto"/>
        </w:rPr>
        <w:t>The Company’s authorized capital stock consists of 100,000,000 shares of common stock, $0.0001 par value per share (the “Common Stock”), and 10,000,000 shares of preferred stock, $0.0001 par value per share (the “Preferred Stock”).</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 Delaware law, stockholders generally are not personally liable for a corporation’s acts or debts.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 Rights</w:t>
      </w:r>
    </w:p>
    <w:p>
      <w:pPr>
        <w:spacing w:after="0" w:line="144" w:lineRule="exact"/>
        <w:rPr>
          <w:sz w:val="20"/>
          <w:szCs w:val="20"/>
          <w:color w:val="auto"/>
        </w:rPr>
      </w:pPr>
    </w:p>
    <w:p>
      <w:pPr>
        <w:ind w:left="180" w:right="379"/>
        <w:spacing w:after="0" w:line="224" w:lineRule="auto"/>
        <w:rPr>
          <w:sz w:val="20"/>
          <w:szCs w:val="20"/>
          <w:color w:val="auto"/>
        </w:rPr>
      </w:pPr>
      <w:r>
        <w:rPr>
          <w:rFonts w:ascii="Arial" w:cs="Arial" w:eastAsia="Arial" w:hAnsi="Arial"/>
          <w:sz w:val="18"/>
          <w:szCs w:val="18"/>
          <w:color w:val="auto"/>
        </w:rPr>
        <w:t>Subject to preferences that may be applicable to any then-outstanding shares of Preferred Stock, the holders of Common Stock are entitled to receive such dividends, if any, as may be declared from time to time by the Company’s Board of Directors out of legally available funds.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Voting Rights</w:t>
      </w:r>
    </w:p>
    <w:p>
      <w:pPr>
        <w:spacing w:after="0" w:line="144" w:lineRule="exact"/>
        <w:rPr>
          <w:sz w:val="20"/>
          <w:szCs w:val="20"/>
          <w:color w:val="auto"/>
        </w:rPr>
      </w:pPr>
    </w:p>
    <w:p>
      <w:pPr>
        <w:ind w:left="180" w:right="239"/>
        <w:spacing w:after="0" w:line="212" w:lineRule="auto"/>
        <w:rPr>
          <w:sz w:val="20"/>
          <w:szCs w:val="20"/>
          <w:color w:val="auto"/>
        </w:rPr>
      </w:pPr>
      <w:r>
        <w:rPr>
          <w:rFonts w:ascii="Arial" w:cs="Arial" w:eastAsia="Arial" w:hAnsi="Arial"/>
          <w:sz w:val="18"/>
          <w:szCs w:val="18"/>
          <w:color w:val="auto"/>
        </w:rPr>
        <w:t>Holders of Common Stock are entitled to one vote for each share held of record on all matters to be voted on by the stockholders, including the election of directors. There is no cumulative voting with respect to the election of directors. Directors are elected by a plurality of the votes cast by the holders of Common Stock. Except as otherwise required by law or the Company’s Certificate of Incorporation or By-Laws, all other matters brought to a vote of the holders of Common Stock are determined by a majority of the votes cast and, except as may be provided with respect to any other outstanding class or series of the Company’s stock, the holders of shares of Common Stock possess the exclusive voting power.</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Liquidation</w:t>
      </w:r>
    </w:p>
    <w:p>
      <w:pPr>
        <w:spacing w:after="0" w:line="144" w:lineRule="exact"/>
        <w:rPr>
          <w:sz w:val="20"/>
          <w:szCs w:val="20"/>
          <w:color w:val="auto"/>
        </w:rPr>
      </w:pPr>
    </w:p>
    <w:p>
      <w:pPr>
        <w:ind w:left="180" w:right="259"/>
        <w:spacing w:after="0" w:line="219" w:lineRule="auto"/>
        <w:rPr>
          <w:sz w:val="20"/>
          <w:szCs w:val="20"/>
          <w:color w:val="auto"/>
        </w:rPr>
      </w:pPr>
      <w:r>
        <w:rPr>
          <w:rFonts w:ascii="Arial" w:cs="Arial" w:eastAsia="Arial" w:hAnsi="Arial"/>
          <w:sz w:val="18"/>
          <w:szCs w:val="18"/>
          <w:color w:val="auto"/>
        </w:rPr>
        <w:t>In the event of the Company’s liquidation, dissolution or winding up, the holders of Common Stock will be entitled to share ratably in the net assets legally available for distribution to stockholders after the payment of all of the Company’s known debts and other liabilities and the satisfaction of any liquidation preference granted to the holders of any then-outstanding shares of Preferred Stock.</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Rights and Preferences</w:t>
      </w:r>
    </w:p>
    <w:p>
      <w:pPr>
        <w:spacing w:after="0" w:line="144" w:lineRule="exact"/>
        <w:rPr>
          <w:sz w:val="20"/>
          <w:szCs w:val="20"/>
          <w:color w:val="auto"/>
        </w:rPr>
      </w:pPr>
    </w:p>
    <w:p>
      <w:pPr>
        <w:ind w:left="180" w:right="199"/>
        <w:spacing w:after="0" w:line="216" w:lineRule="auto"/>
        <w:rPr>
          <w:sz w:val="20"/>
          <w:szCs w:val="20"/>
          <w:color w:val="auto"/>
        </w:rPr>
      </w:pPr>
      <w:r>
        <w:rPr>
          <w:rFonts w:ascii="Arial" w:cs="Arial" w:eastAsia="Arial" w:hAnsi="Arial"/>
          <w:sz w:val="18"/>
          <w:szCs w:val="18"/>
          <w:color w:val="auto"/>
        </w:rPr>
        <w:t>All outstanding shares of Common Stock are duly authorized, fully paid and non-assessable. 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Quotation</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is quoted on the Pink tier of the OTC Markets under the symbol “TTSH.”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344805</wp:posOffset>
            </wp:positionV>
            <wp:extent cx="552894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8" w:name="page69"/>
    <w:bookmarkEnd w:id="68"/>
    <w:p>
      <w:pPr>
        <w:ind w:left="18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80" w:right="199"/>
        <w:spacing w:after="0" w:line="222" w:lineRule="auto"/>
        <w:rPr>
          <w:sz w:val="20"/>
          <w:szCs w:val="20"/>
          <w:color w:val="auto"/>
        </w:rPr>
      </w:pPr>
      <w:r>
        <w:rPr>
          <w:rFonts w:ascii="Arial" w:cs="Arial" w:eastAsia="Arial" w:hAnsi="Arial"/>
          <w:sz w:val="17"/>
          <w:szCs w:val="17"/>
          <w:color w:val="auto"/>
        </w:rPr>
        <w:t>The Board of Directors has the authority, without further action by the holders of Common Stock,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the Company or other corporate action. The Company has no outstanding shares of Preferred Stock.</w:t>
      </w:r>
    </w:p>
    <w:p>
      <w:pPr>
        <w:spacing w:after="0" w:line="124" w:lineRule="exact"/>
        <w:rPr>
          <w:sz w:val="20"/>
          <w:szCs w:val="20"/>
          <w:color w:val="auto"/>
        </w:rPr>
      </w:pPr>
    </w:p>
    <w:p>
      <w:pPr>
        <w:ind w:left="180" w:right="379"/>
        <w:spacing w:after="0" w:line="237" w:lineRule="auto"/>
        <w:rPr>
          <w:sz w:val="20"/>
          <w:szCs w:val="20"/>
          <w:color w:val="auto"/>
        </w:rPr>
      </w:pPr>
      <w:r>
        <w:rPr>
          <w:rFonts w:ascii="Arial" w:cs="Arial" w:eastAsia="Arial" w:hAnsi="Arial"/>
          <w:sz w:val="18"/>
          <w:szCs w:val="18"/>
          <w:b w:val="1"/>
          <w:bCs w:val="1"/>
          <w:color w:val="auto"/>
        </w:rPr>
        <w:t>Anti-Takeover Effects of Provisions of Delaware Law and the Company’s Certificate of Incorporation and By-Laws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144" w:lineRule="exact"/>
        <w:rPr>
          <w:sz w:val="20"/>
          <w:szCs w:val="20"/>
          <w:color w:val="auto"/>
        </w:rPr>
      </w:pPr>
    </w:p>
    <w:p>
      <w:pPr>
        <w:ind w:left="180" w:right="499"/>
        <w:spacing w:after="0" w:line="237" w:lineRule="auto"/>
        <w:rPr>
          <w:sz w:val="20"/>
          <w:szCs w:val="20"/>
          <w:color w:val="auto"/>
        </w:rPr>
      </w:pPr>
      <w:r>
        <w:rPr>
          <w:rFonts w:ascii="Arial" w:cs="Arial" w:eastAsia="Arial" w:hAnsi="Arial"/>
          <w:sz w:val="16"/>
          <w:szCs w:val="16"/>
          <w:color w:val="auto"/>
        </w:rPr>
        <w:t>The Company’s Certificate of Incorporation provides for the Company’s Board of Directors to be divided into three classes with staggered three-year terms. Only one class of directors will be elected at each annual meeting of stockholders, with the other classes continuing for the remainder of their respective three-year terms. Because the Company’s stockholders do not have cumulative voting rights, its stockholders holding a majority of the shares of Common Stock outstanding will be able to elect all of its directors. The Company’s Certificate of Incorporation and By-Laws provide that all stockholder actions must be effected at a duly called meeting of stockholders and not by a consent in writing, and that only the Company’s Board of Directors, Chairperson of the Board of Directors, Chief Executive Officer or President may call a special meeting of stockholders.</w:t>
      </w:r>
    </w:p>
    <w:p>
      <w:pPr>
        <w:spacing w:after="0" w:line="126" w:lineRule="exact"/>
        <w:rPr>
          <w:sz w:val="20"/>
          <w:szCs w:val="20"/>
          <w:color w:val="auto"/>
        </w:rPr>
      </w:pPr>
    </w:p>
    <w:p>
      <w:pPr>
        <w:ind w:left="180" w:right="219"/>
        <w:spacing w:after="0" w:line="231" w:lineRule="auto"/>
        <w:rPr>
          <w:sz w:val="20"/>
          <w:szCs w:val="20"/>
          <w:color w:val="auto"/>
        </w:rPr>
      </w:pPr>
      <w:r>
        <w:rPr>
          <w:rFonts w:ascii="Arial" w:cs="Arial" w:eastAsia="Arial" w:hAnsi="Arial"/>
          <w:sz w:val="16"/>
          <w:szCs w:val="16"/>
          <w:color w:val="auto"/>
        </w:rPr>
        <w:t>The Company’s Certificate of Incorporation provides that certain provisions of the Company’s Certificate of Incorporation, including those relating to the issuance of Preferred Stock, classification of the Board of Directors, and the inability of the stockholders to take action by written consent or call a special meeting, may only be altered, amended, repealed or replaced only with the affirmative vote of the holders of at least 75% of the voting power of all of the then-outstanding shares of capital stock of the Company entitled to vote generally in the election of directors. The Company’s Certificate of Incorporation and By-Laws further provide that the Company’s By-Laws may be altered, amended, repealed or replaced by the Board of Directors without stockholder approval, to the extent permitted by law; provided, however, that the stockholders may amend the By-Laws with the affirmative vote of the holders of at least 75% of the voting power of all of the then-outstanding shares of capital stock of the Company entitled to vote generally in the election of directors. The Company’s Certificate of Incorporation and By-Laws also provide that stockholders may only remove a director for cause and only by the affirmative vote of the holders of at least 75% of the voting power of all of the then-outstanding shares of capital stock of the Company entitled to vote generally in the election of directors. The Company’s Certificate of Incorporation and By-Laws allow the Company’s directors to establish the size of the Board of Directors and fill vacancies on the Board, including those created by an increase in the number of directors (subject to the rights of the holders of any series of Preferred Stock to elect additional directors under specified circumstances). The Company’s By-Laws establish advance notice procedures for stockholders to submit proposals and nominations of candidates for election to the Board of Directors to be brought before a stockholders’ meeting. The combination of the classification of the Board of Directors, the lack of cumulative voting or the ability of stockholders to take action by written consent or call a special meeting, the 75% stockholder voting requirements, the limitations on removing directors without cause, the ability of the Board of Directors to fill vacancies, and the advance notice provisions make it difficult for the Company’s existing stockholders to replace its Board of Directors, as well as for another party to obtain control of the Company by replacing its Board of Directors. Because the Company’s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the Company’s control.</w:t>
      </w:r>
    </w:p>
    <w:p>
      <w:pPr>
        <w:spacing w:after="0" w:line="134" w:lineRule="exact"/>
        <w:rPr>
          <w:sz w:val="20"/>
          <w:szCs w:val="20"/>
          <w:color w:val="auto"/>
        </w:rPr>
      </w:pPr>
    </w:p>
    <w:p>
      <w:pPr>
        <w:ind w:left="180" w:right="459"/>
        <w:spacing w:after="0" w:line="235" w:lineRule="auto"/>
        <w:rPr>
          <w:sz w:val="20"/>
          <w:szCs w:val="20"/>
          <w:color w:val="auto"/>
        </w:rPr>
      </w:pPr>
      <w:r>
        <w:rPr>
          <w:rFonts w:ascii="Arial" w:cs="Arial" w:eastAsia="Arial" w:hAnsi="Arial"/>
          <w:sz w:val="18"/>
          <w:szCs w:val="18"/>
          <w:color w:val="auto"/>
        </w:rPr>
        <w:t>These provisions may have the effect of deterring hostile takeovers or delaying changes in the Company’s control 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107315</wp:posOffset>
            </wp:positionV>
            <wp:extent cx="552894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9" w:name="page70"/>
    <w:bookmarkEnd w:id="69"/>
    <w:p>
      <w:pPr>
        <w:ind w:left="180"/>
        <w:spacing w:after="0"/>
        <w:rPr>
          <w:sz w:val="20"/>
          <w:szCs w:val="20"/>
          <w:color w:val="auto"/>
        </w:rPr>
      </w:pPr>
      <w:r>
        <w:rPr>
          <w:rFonts w:ascii="Arial" w:cs="Arial" w:eastAsia="Arial" w:hAnsi="Arial"/>
          <w:sz w:val="18"/>
          <w:szCs w:val="18"/>
          <w:i w:val="1"/>
          <w:iCs w:val="1"/>
          <w:color w:val="auto"/>
        </w:rPr>
        <w:t>Delaware Anti-Takeover Law</w:t>
      </w:r>
    </w:p>
    <w:p>
      <w:pPr>
        <w:ind w:left="180" w:right="239"/>
        <w:spacing w:after="0" w:line="214" w:lineRule="auto"/>
        <w:rPr>
          <w:sz w:val="20"/>
          <w:szCs w:val="20"/>
          <w:color w:val="auto"/>
        </w:rPr>
      </w:pPr>
      <w:r>
        <w:rPr>
          <w:rFonts w:ascii="Arial" w:cs="Arial" w:eastAsia="Arial" w:hAnsi="Arial"/>
          <w:sz w:val="18"/>
          <w:szCs w:val="18"/>
          <w:color w:val="auto"/>
        </w:rPr>
        <w:t>The Company is not currently subject to Section 203 of the Delaware General Corporation Law (“Section 203”),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23" w:lineRule="exact"/>
        <w:rPr>
          <w:sz w:val="20"/>
          <w:szCs w:val="20"/>
          <w:color w:val="auto"/>
        </w:rPr>
      </w:pPr>
    </w:p>
    <w:p>
      <w:pPr>
        <w:ind w:left="840" w:right="699" w:hanging="332"/>
        <w:spacing w:after="0" w:line="289"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prior to the date of the transaction, the board of directors of the corporation approved either the business combination or the transaction that resulted in the stockholder becoming an interested stockholder;</w:t>
      </w:r>
    </w:p>
    <w:p>
      <w:pPr>
        <w:spacing w:after="0" w:line="83" w:lineRule="exact"/>
        <w:rPr>
          <w:rFonts w:ascii="Arial" w:cs="Arial" w:eastAsia="Arial" w:hAnsi="Arial"/>
          <w:sz w:val="16"/>
          <w:szCs w:val="16"/>
          <w:color w:val="auto"/>
        </w:rPr>
      </w:pPr>
    </w:p>
    <w:p>
      <w:pPr>
        <w:ind w:left="840" w:right="319" w:hanging="332"/>
        <w:spacing w:after="0" w:line="225" w:lineRule="auto"/>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21" w:lineRule="exact"/>
        <w:rPr>
          <w:rFonts w:ascii="Arial" w:cs="Arial" w:eastAsia="Arial" w:hAnsi="Arial"/>
          <w:sz w:val="17"/>
          <w:szCs w:val="17"/>
          <w:color w:val="auto"/>
        </w:rPr>
      </w:pPr>
    </w:p>
    <w:p>
      <w:pPr>
        <w:ind w:left="840" w:right="339" w:hanging="332"/>
        <w:spacing w:after="0" w:line="237" w:lineRule="auto"/>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21" w:lineRule="exact"/>
        <w:rPr>
          <w:sz w:val="20"/>
          <w:szCs w:val="20"/>
          <w:color w:val="auto"/>
        </w:rPr>
      </w:pPr>
    </w:p>
    <w:p>
      <w:pPr>
        <w:ind w:left="840" w:hanging="332"/>
        <w:spacing w:after="0"/>
        <w:tabs>
          <w:tab w:leader="none" w:pos="84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any merger or consolidation involving the corporation and the interested stockholder;</w:t>
      </w:r>
    </w:p>
    <w:p>
      <w:pPr>
        <w:spacing w:after="0" w:line="161" w:lineRule="exact"/>
        <w:rPr>
          <w:rFonts w:ascii="Arial" w:cs="Arial" w:eastAsia="Arial" w:hAnsi="Arial"/>
          <w:sz w:val="22"/>
          <w:szCs w:val="22"/>
          <w:color w:val="auto"/>
        </w:rPr>
      </w:pPr>
    </w:p>
    <w:p>
      <w:pPr>
        <w:ind w:left="840" w:right="199" w:hanging="332"/>
        <w:spacing w:after="0" w:line="218" w:lineRule="auto"/>
        <w:tabs>
          <w:tab w:leader="none" w:pos="8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such corporation, to or with the interested stockholder, of assets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23" w:lineRule="exact"/>
        <w:rPr>
          <w:rFonts w:ascii="Arial" w:cs="Arial" w:eastAsia="Arial" w:hAnsi="Arial"/>
          <w:sz w:val="21"/>
          <w:szCs w:val="21"/>
          <w:color w:val="auto"/>
        </w:rPr>
      </w:pPr>
    </w:p>
    <w:p>
      <w:pPr>
        <w:ind w:left="840" w:right="379" w:hanging="332"/>
        <w:spacing w:after="0" w:line="211" w:lineRule="auto"/>
        <w:tabs>
          <w:tab w:leader="none" w:pos="840" w:val="left"/>
        </w:tabs>
        <w:numPr>
          <w:ilvl w:val="0"/>
          <w:numId w:val="40"/>
        </w:numPr>
        <w:rPr>
          <w:rFonts w:ascii="Arial" w:cs="Arial" w:eastAsia="Arial" w:hAnsi="Arial"/>
          <w:sz w:val="22"/>
          <w:szCs w:val="22"/>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22" w:lineRule="exact"/>
        <w:rPr>
          <w:rFonts w:ascii="Arial" w:cs="Arial" w:eastAsia="Arial" w:hAnsi="Arial"/>
          <w:sz w:val="22"/>
          <w:szCs w:val="22"/>
          <w:color w:val="auto"/>
        </w:rPr>
      </w:pPr>
    </w:p>
    <w:p>
      <w:pPr>
        <w:ind w:left="840" w:right="359" w:hanging="332"/>
        <w:spacing w:after="0" w:line="220" w:lineRule="auto"/>
        <w:tabs>
          <w:tab w:leader="none" w:pos="840" w:val="left"/>
        </w:tabs>
        <w:numPr>
          <w:ilvl w:val="0"/>
          <w:numId w:val="40"/>
        </w:numPr>
        <w:rPr>
          <w:rFonts w:ascii="Arial" w:cs="Arial" w:eastAsia="Arial" w:hAnsi="Arial"/>
          <w:sz w:val="21"/>
          <w:szCs w:val="21"/>
          <w:color w:val="auto"/>
        </w:rPr>
      </w:pPr>
      <w:r>
        <w:rPr>
          <w:rFonts w:ascii="Arial" w:cs="Arial" w:eastAsia="Arial" w:hAnsi="Arial"/>
          <w:sz w:val="17"/>
          <w:szCs w:val="17"/>
          <w:color w:val="auto"/>
        </w:rPr>
        <w:t>subject to certain exceptions, any transaction involving the corporation that has the effect, directly or indirectly, of increasing the interested stockholder’s proportionate share of the stock of any class or series, or securities convertible into the stock of any class or series, of the corporation; and</w:t>
      </w:r>
    </w:p>
    <w:p>
      <w:pPr>
        <w:spacing w:after="0" w:line="122" w:lineRule="exact"/>
        <w:rPr>
          <w:rFonts w:ascii="Arial" w:cs="Arial" w:eastAsia="Arial" w:hAnsi="Arial"/>
          <w:sz w:val="21"/>
          <w:szCs w:val="21"/>
          <w:color w:val="auto"/>
        </w:rPr>
      </w:pPr>
    </w:p>
    <w:p>
      <w:pPr>
        <w:ind w:left="840" w:right="659" w:hanging="332"/>
        <w:spacing w:after="0" w:line="209" w:lineRule="auto"/>
        <w:tabs>
          <w:tab w:leader="none" w:pos="84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any receipt by the interested stockholder of the benefit, directly or indirectly (except proportionately as a stockholder of such corporation), of any loans, advances, guarantees, pledges or other financial benefits provided by or through the corporation.</w:t>
      </w:r>
    </w:p>
    <w:p>
      <w:pPr>
        <w:spacing w:after="0" w:line="121" w:lineRule="exact"/>
        <w:rPr>
          <w:sz w:val="20"/>
          <w:szCs w:val="20"/>
          <w:color w:val="auto"/>
        </w:rPr>
      </w:pPr>
    </w:p>
    <w:p>
      <w:pPr>
        <w:jc w:val="both"/>
        <w:ind w:left="180" w:right="739"/>
        <w:spacing w:after="0" w:line="237" w:lineRule="auto"/>
        <w:rPr>
          <w:sz w:val="20"/>
          <w:szCs w:val="20"/>
          <w:color w:val="auto"/>
        </w:rPr>
      </w:pPr>
      <w:r>
        <w:rPr>
          <w:rFonts w:ascii="Arial" w:cs="Arial" w:eastAsia="Arial" w:hAnsi="Arial"/>
          <w:sz w:val="17"/>
          <w:szCs w:val="17"/>
          <w:color w:val="auto"/>
        </w:rPr>
        <w:t>In general, Section 203 defines an “interested stockholder” as an entity or person that, together with the person’s affiliates and associates, beneficially owns, or within three years prior to the time of determination of interested stockholder status did own, 15% or more of the outstanding voting stock of the corporation.</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Authorized and Unissued Shares</w:t>
      </w:r>
    </w:p>
    <w:p>
      <w:pPr>
        <w:spacing w:after="0" w:line="144" w:lineRule="exact"/>
        <w:rPr>
          <w:sz w:val="20"/>
          <w:szCs w:val="20"/>
          <w:color w:val="auto"/>
        </w:rPr>
      </w:pPr>
    </w:p>
    <w:p>
      <w:pPr>
        <w:ind w:left="180" w:right="219"/>
        <w:spacing w:after="0" w:line="249" w:lineRule="auto"/>
        <w:rPr>
          <w:sz w:val="20"/>
          <w:szCs w:val="20"/>
          <w:color w:val="auto"/>
        </w:rPr>
      </w:pPr>
      <w:r>
        <w:rPr>
          <w:rFonts w:ascii="Arial" w:cs="Arial" w:eastAsia="Arial" w:hAnsi="Arial"/>
          <w:sz w:val="16"/>
          <w:szCs w:val="16"/>
          <w:color w:val="auto"/>
        </w:rPr>
        <w:t>The Company’s authorized and unissued shares of Common Stock are available for future issuance without stockholder approval except as may otherwise be required by applicable regulations or Delaware law. The Company may issue additional shares for a variety of purposes, including future offerings to raise additional capital, to fund acquisitions and as employee and consultant compensation. The existence of authorized but unissued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102870</wp:posOffset>
            </wp:positionV>
            <wp:extent cx="552894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0" w:name="page71"/>
    <w:bookmarkEnd w:id="70"/>
    <w:p>
      <w:pPr>
        <w:ind w:left="180" w:right="259"/>
        <w:spacing w:after="0" w:line="235" w:lineRule="auto"/>
        <w:rPr>
          <w:sz w:val="20"/>
          <w:szCs w:val="20"/>
          <w:color w:val="auto"/>
        </w:rPr>
      </w:pPr>
      <w:r>
        <w:rPr>
          <w:rFonts w:ascii="Arial" w:cs="Arial" w:eastAsia="Arial" w:hAnsi="Arial"/>
          <w:sz w:val="18"/>
          <w:szCs w:val="18"/>
          <w:color w:val="auto"/>
        </w:rPr>
        <w:t>of Common Stock could render more difficult, or discourage an attempt, to obtain control of the Company by means of a proxy contest, tender offer, merger or otherwise.</w:t>
      </w:r>
    </w:p>
    <w:p>
      <w:pPr>
        <w:spacing w:after="0" w:line="121" w:lineRule="exact"/>
        <w:rPr>
          <w:sz w:val="20"/>
          <w:szCs w:val="20"/>
          <w:color w:val="auto"/>
        </w:rPr>
      </w:pPr>
    </w:p>
    <w:p>
      <w:pPr>
        <w:ind w:left="180" w:right="199"/>
        <w:spacing w:after="0" w:line="216" w:lineRule="auto"/>
        <w:rPr>
          <w:sz w:val="20"/>
          <w:szCs w:val="20"/>
          <w:color w:val="auto"/>
        </w:rPr>
      </w:pPr>
      <w:r>
        <w:rPr>
          <w:rFonts w:ascii="Arial" w:cs="Arial" w:eastAsia="Arial" w:hAnsi="Arial"/>
          <w:sz w:val="18"/>
          <w:szCs w:val="18"/>
          <w:color w:val="auto"/>
        </w:rPr>
        <w:t>The issuance of shares of Preferred Stock by the Company could have certain anti-takeover effects under certain circumstances, and could enable the Board of Directors to render more difficult or discourage an attempt to obtain control of the Company by means of a merger, tender offer or other business combination transaction directed at the Company by, among other things, placing shares of Preferred Stock with investors who might align themselves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219075</wp:posOffset>
            </wp:positionV>
            <wp:extent cx="552894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jc w:val="right"/>
        <w:ind w:right="199"/>
        <w:spacing w:after="0"/>
        <w:rPr>
          <w:sz w:val="20"/>
          <w:szCs w:val="20"/>
          <w:color w:val="auto"/>
        </w:rPr>
      </w:pPr>
      <w:r>
        <w:rPr>
          <w:rFonts w:ascii="Arial" w:cs="Arial" w:eastAsia="Arial" w:hAnsi="Arial"/>
          <w:sz w:val="18"/>
          <w:szCs w:val="18"/>
          <w:b w:val="1"/>
          <w:bCs w:val="1"/>
          <w:color w:val="auto"/>
        </w:rPr>
        <w:t>EXHIBIT 10.19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KIRK GEADELMANN STOCK OPTION MODIFICATION</w:t>
      </w:r>
    </w:p>
    <w:p>
      <w:pPr>
        <w:spacing w:after="0" w:line="283" w:lineRule="exact"/>
        <w:rPr>
          <w:sz w:val="20"/>
          <w:szCs w:val="20"/>
          <w:color w:val="auto"/>
        </w:rPr>
      </w:pPr>
    </w:p>
    <w:p>
      <w:pPr>
        <w:ind w:left="180" w:right="259"/>
        <w:spacing w:after="0" w:line="219" w:lineRule="auto"/>
        <w:rPr>
          <w:sz w:val="20"/>
          <w:szCs w:val="20"/>
          <w:color w:val="auto"/>
        </w:rPr>
      </w:pPr>
      <w:r>
        <w:rPr>
          <w:rFonts w:ascii="Arial" w:cs="Arial" w:eastAsia="Arial" w:hAnsi="Arial"/>
          <w:sz w:val="18"/>
          <w:szCs w:val="18"/>
          <w:color w:val="auto"/>
        </w:rPr>
        <w:t>Tile Shop Holdings, Inc. (the “Company”) and Kirk Geadelmann (“Geadelmann”) are parties to that certain Amendment to Terms of Employment and Waiver of Claims and General Release (the “Amendment and Release”), entered into as of September 6, 2019. For good and valuable consideration, Company and Geadelmann further agree as follows:</w:t>
      </w:r>
    </w:p>
    <w:p>
      <w:pPr>
        <w:spacing w:after="0" w:line="122" w:lineRule="exact"/>
        <w:rPr>
          <w:sz w:val="20"/>
          <w:szCs w:val="20"/>
          <w:color w:val="auto"/>
        </w:rPr>
      </w:pPr>
    </w:p>
    <w:p>
      <w:pPr>
        <w:ind w:left="840" w:right="659" w:hanging="332"/>
        <w:spacing w:after="0" w:line="235"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Geadelmann’s employment with the Company is voluntarily ending on December 6, 2019 (“Termination Date”).</w:t>
      </w:r>
    </w:p>
    <w:p>
      <w:pPr>
        <w:spacing w:after="0" w:line="121" w:lineRule="exact"/>
        <w:rPr>
          <w:rFonts w:ascii="Arial" w:cs="Arial" w:eastAsia="Arial" w:hAnsi="Arial"/>
          <w:sz w:val="18"/>
          <w:szCs w:val="18"/>
          <w:color w:val="auto"/>
        </w:rPr>
      </w:pPr>
    </w:p>
    <w:p>
      <w:pPr>
        <w:ind w:left="840" w:right="239" w:hanging="332"/>
        <w:spacing w:after="0" w:line="224"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consideration for Geadelmann signing this Exhibit 10.19, the Company shall permit Geadelmann to exercise all stock options held by Geadelmann and vested on the Termination Date for a period of one (1) year following the Termination Date.</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Geadelmann, along with his heirs, executors, administrators, successors, and assigns, reaffirms his agreement with and acceptance of all of the terms and provisions contained in the Agreement and Release, including without limitation those contained in Section 2 of the Agreement and Release, as of the date of Geadelmann’s signature on this document.</w:t>
      </w:r>
    </w:p>
    <w:p>
      <w:pPr>
        <w:spacing w:after="0" w:line="122" w:lineRule="exact"/>
        <w:rPr>
          <w:rFonts w:ascii="Arial" w:cs="Arial" w:eastAsia="Arial" w:hAnsi="Arial"/>
          <w:sz w:val="18"/>
          <w:szCs w:val="18"/>
          <w:color w:val="auto"/>
        </w:rPr>
      </w:pPr>
    </w:p>
    <w:p>
      <w:pPr>
        <w:jc w:val="both"/>
        <w:ind w:left="840" w:right="219" w:hanging="332"/>
        <w:spacing w:after="0" w:line="235" w:lineRule="auto"/>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Geadelmann has been advised that Geadelmann has twenty-one (21) days from the date on which Geadelmann received this Exhibit 10.19 to consider whether Geadelmann wishes to sign it. However, the Company will not accept, and Geadelmann may not execute, this Exhibit 10.19 until on or after the Termination</w:t>
      </w:r>
    </w:p>
    <w:p>
      <w:pPr>
        <w:spacing w:after="0" w:line="2"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Date. Geadelmann is also advised to consult with an attorney prior to signing this document.</w:t>
      </w:r>
    </w:p>
    <w:p>
      <w:pPr>
        <w:spacing w:after="0" w:line="128" w:lineRule="exact"/>
        <w:rPr>
          <w:rFonts w:ascii="Arial" w:cs="Arial" w:eastAsia="Arial" w:hAnsi="Arial"/>
          <w:sz w:val="16"/>
          <w:szCs w:val="16"/>
          <w:color w:val="auto"/>
        </w:rPr>
      </w:pPr>
    </w:p>
    <w:p>
      <w:pPr>
        <w:ind w:left="840" w:right="299" w:hanging="332"/>
        <w:spacing w:after="0" w:line="222" w:lineRule="auto"/>
        <w:tabs>
          <w:tab w:leader="none" w:pos="8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Geadelmann may cancel this Exhibit 10.19, but only this Exhibit 10.19 and specifically not the Amendment and Release, within fifteen (15) days after signing it. This Exhibit 10.19 will not become effective or enforceable until such rescission period has passed. If Geadelmann decides to rescind this Exhibit 10.19, Geadelmann must mail or hand deliver the notice of rescission to: Cabell Lolmaugh, Chief Executive Officer and President, Tile Shop Holdings, Inc., 14000 Carlson Parkway, Plymouth MN 55441. If Geadelmann mails the notice of rescission, the notice must be postmarked within the fifteen (15) day period and must be sent via certified mail, return receipt requested, as addressed above. If Geadelmann exercises the right to rescind this Exhibit 10.19, this Exhibit 10.19 shall immediately be null and void and Geadelmann will not receive the valuable consideration described herein.</w:t>
      </w:r>
    </w:p>
    <w:p>
      <w:pPr>
        <w:spacing w:after="0" w:line="128" w:lineRule="exact"/>
        <w:rPr>
          <w:sz w:val="20"/>
          <w:szCs w:val="20"/>
          <w:color w:val="auto"/>
        </w:rPr>
      </w:pPr>
    </w:p>
    <w:p>
      <w:pPr>
        <w:ind w:left="180" w:right="859"/>
        <w:spacing w:after="0" w:line="235" w:lineRule="auto"/>
        <w:rPr>
          <w:sz w:val="20"/>
          <w:szCs w:val="20"/>
          <w:color w:val="auto"/>
        </w:rPr>
      </w:pPr>
      <w:r>
        <w:rPr>
          <w:rFonts w:ascii="Arial" w:cs="Arial" w:eastAsia="Arial" w:hAnsi="Arial"/>
          <w:sz w:val="18"/>
          <w:szCs w:val="18"/>
          <w:color w:val="auto"/>
        </w:rPr>
        <w:t>IN WITNESS WHEREOF, the parties have caused this Exhibit 10.19 to the Agreement and Release to be duly executed and delivered as of the day and year indicated below.</w:t>
      </w:r>
    </w:p>
    <w:p>
      <w:pPr>
        <w:spacing w:after="0" w:line="13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c>
          <w:tcPr>
            <w:tcW w:w="5120" w:type="dxa"/>
            <w:vAlign w:val="bottom"/>
            <w:gridSpan w:val="3"/>
          </w:tcPr>
          <w:p>
            <w:pPr>
              <w:ind w:left="860"/>
              <w:spacing w:after="0"/>
              <w:rPr>
                <w:sz w:val="20"/>
                <w:szCs w:val="20"/>
                <w:color w:val="auto"/>
              </w:rPr>
            </w:pPr>
            <w:r>
              <w:rPr>
                <w:rFonts w:ascii="Arial" w:cs="Arial" w:eastAsia="Arial" w:hAnsi="Arial"/>
                <w:sz w:val="18"/>
                <w:szCs w:val="18"/>
                <w:b w:val="1"/>
                <w:bCs w:val="1"/>
                <w:color w:val="auto"/>
              </w:rPr>
              <w:t>TILE SHOP HOLDINGS, INC.</w:t>
            </w:r>
          </w:p>
        </w:tc>
      </w:tr>
      <w:tr>
        <w:trPr>
          <w:trHeight w:val="351"/>
        </w:trPr>
        <w:tc>
          <w:tcPr>
            <w:tcW w:w="1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 Kirk Geadelmann</w:t>
            </w:r>
            <w:r>
              <w:rPr>
                <w:rFonts w:ascii="Arial" w:cs="Arial" w:eastAsia="Arial" w:hAnsi="Arial"/>
                <w:sz w:val="18"/>
                <w:szCs w:val="18"/>
                <w:b w:val="1"/>
                <w:bCs w:val="1"/>
                <w:i w:val="1"/>
                <w:iCs w:val="1"/>
                <w:color w:val="auto"/>
              </w:rPr>
              <w:t>____________</w:t>
            </w:r>
          </w:p>
        </w:tc>
        <w:tc>
          <w:tcPr>
            <w:tcW w:w="5120" w:type="dxa"/>
            <w:vAlign w:val="bottom"/>
            <w:gridSpan w:val="3"/>
          </w:tcPr>
          <w:p>
            <w:pPr>
              <w:ind w:left="860"/>
              <w:spacing w:after="0"/>
              <w:rPr>
                <w:sz w:val="20"/>
                <w:szCs w:val="20"/>
                <w:color w:val="auto"/>
              </w:rPr>
            </w:pPr>
            <w:r>
              <w:rPr>
                <w:rFonts w:ascii="Arial" w:cs="Arial" w:eastAsia="Arial" w:hAnsi="Arial"/>
                <w:sz w:val="18"/>
                <w:szCs w:val="18"/>
                <w:color w:val="auto"/>
              </w:rPr>
              <w:t>By: /s/ Cabell Lolmaugh_______________</w:t>
            </w:r>
          </w:p>
        </w:tc>
      </w:tr>
      <w:tr>
        <w:trPr>
          <w:trHeight w:val="20"/>
        </w:trPr>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68"/>
        </w:trPr>
        <w:tc>
          <w:tcPr>
            <w:tcW w:w="120" w:type="dxa"/>
            <w:vAlign w:val="bottom"/>
          </w:tcPr>
          <w:p>
            <w:pPr>
              <w:spacing w:after="0"/>
              <w:rPr>
                <w:sz w:val="14"/>
                <w:szCs w:val="14"/>
                <w:color w:val="auto"/>
              </w:rPr>
            </w:pPr>
          </w:p>
        </w:tc>
        <w:tc>
          <w:tcPr>
            <w:tcW w:w="3440" w:type="dxa"/>
            <w:vAlign w:val="bottom"/>
            <w:gridSpan w:val="2"/>
          </w:tcPr>
          <w:p>
            <w:pPr>
              <w:spacing w:after="0" w:line="168" w:lineRule="exact"/>
              <w:rPr>
                <w:sz w:val="20"/>
                <w:szCs w:val="20"/>
                <w:color w:val="auto"/>
              </w:rPr>
            </w:pPr>
            <w:r>
              <w:rPr>
                <w:rFonts w:ascii="Arial" w:cs="Arial" w:eastAsia="Arial" w:hAnsi="Arial"/>
                <w:sz w:val="18"/>
                <w:szCs w:val="18"/>
                <w:color w:val="auto"/>
              </w:rPr>
              <w:t>Name: Kirk Geadelmann</w:t>
            </w:r>
          </w:p>
        </w:tc>
        <w:tc>
          <w:tcPr>
            <w:tcW w:w="2640" w:type="dxa"/>
            <w:vAlign w:val="bottom"/>
            <w:gridSpan w:val="2"/>
          </w:tcPr>
          <w:p>
            <w:pPr>
              <w:ind w:left="860"/>
              <w:spacing w:after="0" w:line="168" w:lineRule="exact"/>
              <w:rPr>
                <w:sz w:val="20"/>
                <w:szCs w:val="20"/>
                <w:color w:val="auto"/>
              </w:rPr>
            </w:pPr>
            <w:r>
              <w:rPr>
                <w:rFonts w:ascii="Arial" w:cs="Arial" w:eastAsia="Arial" w:hAnsi="Arial"/>
                <w:sz w:val="18"/>
                <w:szCs w:val="18"/>
                <w:color w:val="auto"/>
                <w:w w:val="91"/>
              </w:rPr>
              <w:t>Name: Cabell Lolmaugh</w:t>
            </w:r>
          </w:p>
        </w:tc>
        <w:tc>
          <w:tcPr>
            <w:tcW w:w="2480" w:type="dxa"/>
            <w:vAlign w:val="bottom"/>
          </w:tcPr>
          <w:p>
            <w:pPr>
              <w:spacing w:after="0"/>
              <w:rPr>
                <w:sz w:val="14"/>
                <w:szCs w:val="14"/>
                <w:color w:val="auto"/>
              </w:rPr>
            </w:pPr>
          </w:p>
        </w:tc>
      </w:tr>
      <w:tr>
        <w:trPr>
          <w:trHeight w:val="189"/>
        </w:trPr>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120" w:type="dxa"/>
            <w:vAlign w:val="bottom"/>
            <w:gridSpan w:val="3"/>
          </w:tcPr>
          <w:p>
            <w:pPr>
              <w:ind w:left="860"/>
              <w:spacing w:after="0" w:line="189" w:lineRule="exact"/>
              <w:rPr>
                <w:sz w:val="20"/>
                <w:szCs w:val="20"/>
                <w:color w:val="auto"/>
              </w:rPr>
            </w:pPr>
            <w:r>
              <w:rPr>
                <w:rFonts w:ascii="Arial" w:cs="Arial" w:eastAsia="Arial" w:hAnsi="Arial"/>
                <w:sz w:val="18"/>
                <w:szCs w:val="18"/>
                <w:color w:val="auto"/>
              </w:rPr>
              <w:t>Title: President and CEO</w:t>
            </w:r>
          </w:p>
        </w:tc>
      </w:tr>
      <w:tr>
        <w:trPr>
          <w:trHeight w:val="230"/>
        </w:trPr>
        <w:tc>
          <w:tcPr>
            <w:tcW w:w="1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Date Signed: December 19, 2019</w:t>
            </w:r>
          </w:p>
        </w:tc>
        <w:tc>
          <w:tcPr>
            <w:tcW w:w="5120" w:type="dxa"/>
            <w:vAlign w:val="bottom"/>
            <w:gridSpan w:val="3"/>
          </w:tcPr>
          <w:p>
            <w:pPr>
              <w:ind w:left="860"/>
              <w:spacing w:after="0"/>
              <w:rPr>
                <w:sz w:val="20"/>
                <w:szCs w:val="20"/>
                <w:color w:val="auto"/>
              </w:rPr>
            </w:pPr>
            <w:r>
              <w:rPr>
                <w:rFonts w:ascii="Arial" w:cs="Arial" w:eastAsia="Arial" w:hAnsi="Arial"/>
                <w:sz w:val="18"/>
                <w:szCs w:val="18"/>
                <w:color w:val="auto"/>
              </w:rPr>
              <w:t>Date Signed: December 19, 2019</w:t>
            </w:r>
          </w:p>
        </w:tc>
      </w:tr>
      <w:tr>
        <w:trPr>
          <w:trHeight w:val="378"/>
        </w:trPr>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jc w:val="right"/>
        <w:ind w:right="19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80" w:right="239"/>
        <w:spacing w:after="0" w:line="216" w:lineRule="auto"/>
        <w:rPr>
          <w:sz w:val="20"/>
          <w:szCs w:val="20"/>
          <w:color w:val="auto"/>
        </w:rPr>
      </w:pPr>
      <w:r>
        <w:rPr>
          <w:rFonts w:ascii="Arial" w:cs="Arial" w:eastAsia="Arial" w:hAnsi="Arial"/>
          <w:sz w:val="18"/>
          <w:szCs w:val="18"/>
          <w:color w:val="auto"/>
        </w:rPr>
        <w:t>We consent to the incorporation by reference in the Registration Statement (Form S-8 Nos. 333-183455 and 333-190088) pertaining to the 2012 Omnibus Award Plan of Tile Shop Holdings, Inc. of our reports dated March 13, 2020, with respect to the consolidated financial statements of Tile Shop Holdings, Inc. and Subsidiaries, and the effectiveness of internal control over financial reporting of Tile Shop Holdings, Inc. and Subsidiaries included in this Annual Report (Form 10-K) for the year ended December 31, 2019.</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Ernst &amp; Young LLP</w:t>
      </w:r>
    </w:p>
    <w:p>
      <w:pPr>
        <w:ind w:left="180"/>
        <w:spacing w:after="0" w:line="203" w:lineRule="auto"/>
        <w:rPr>
          <w:sz w:val="20"/>
          <w:szCs w:val="20"/>
          <w:color w:val="auto"/>
        </w:rPr>
      </w:pPr>
      <w:r>
        <w:rPr>
          <w:rFonts w:ascii="Arial" w:cs="Arial" w:eastAsia="Arial" w:hAnsi="Arial"/>
          <w:sz w:val="18"/>
          <w:szCs w:val="18"/>
          <w:color w:val="auto"/>
        </w:rPr>
        <w:t>Minneapolis, Minnesota</w:t>
      </w:r>
    </w:p>
    <w:p>
      <w:pPr>
        <w:ind w:left="180"/>
        <w:spacing w:after="0"/>
        <w:rPr>
          <w:sz w:val="20"/>
          <w:szCs w:val="20"/>
          <w:color w:val="auto"/>
        </w:rPr>
      </w:pPr>
      <w:r>
        <w:rPr>
          <w:rFonts w:ascii="Arial" w:cs="Arial" w:eastAsia="Arial" w:hAnsi="Arial"/>
          <w:sz w:val="18"/>
          <w:szCs w:val="18"/>
          <w:color w:val="auto"/>
        </w:rPr>
        <w:t>March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4" w:name="page75"/>
    <w:bookmarkEnd w:id="74"/>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Nancy DiMattia, certify that:</w:t>
      </w:r>
    </w:p>
    <w:p>
      <w:pPr>
        <w:spacing w:after="0" w:line="1" w:lineRule="exact"/>
        <w:rPr>
          <w:sz w:val="20"/>
          <w:szCs w:val="20"/>
          <w:color w:val="auto"/>
        </w:rPr>
      </w:pPr>
    </w:p>
    <w:p>
      <w:pPr>
        <w:ind w:left="500" w:hanging="316"/>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jc w:val="both"/>
        <w:ind w:left="180" w:right="4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Annual Report on Form 10-K of the Company for the year ended December 31, 2018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3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Kirk L. Geadelmann, the Chief Financial Officer of Tile Shop Holdings, Inc. (the “Company”), hereby certify that the Annual Report on Form 10-K of the Company for the year ended December 31, 2018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13, 2020</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2"/>
    </w:lvl>
  </w:abstractNum>
  <w:abstractNum w:abstractNumId="26">
    <w:nsid w:val="5577F8E1"/>
    <w:multiLevelType w:val="hybridMultilevel"/>
    <w:lvl w:ilvl="0">
      <w:lvlJc w:val="left"/>
      <w:lvlText w:val="%1."/>
      <w:numFmt w:val="decimal"/>
      <w:start w:val="3"/>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endash "/>
      <w:numFmt w:val="bullet"/>
      <w:start w:val="1"/>
    </w:lvl>
  </w:abstractNum>
  <w:abstractNum w:abstractNumId="34">
    <w:nsid w:val="5E884ADC"/>
    <w:multiLevelType w:val="hybridMultilevel"/>
    <w:lvl w:ilvl="0">
      <w:lvlJc w:val="left"/>
      <w:lvlText w:val="\endash "/>
      <w:numFmt w:val="bullet"/>
      <w:start w:val="1"/>
    </w:lvl>
  </w:abstractNum>
  <w:abstractNum w:abstractNumId="35">
    <w:nsid w:val="51EAD36B"/>
    <w:multiLevelType w:val="hybridMultilevel"/>
    <w:lvl w:ilvl="0">
      <w:lvlJc w:val="left"/>
      <w:lvlText w:val="\endash "/>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8" Type="http://schemas.openxmlformats.org/officeDocument/2006/relationships/image" Target="media/image130.png"/><Relationship Id="rId141" Type="http://schemas.openxmlformats.org/officeDocument/2006/relationships/image" Target="media/image131.png"/><Relationship Id="rId143" Type="http://schemas.openxmlformats.org/officeDocument/2006/relationships/image" Target="media/image132.png"/><Relationship Id="rId146" Type="http://schemas.openxmlformats.org/officeDocument/2006/relationships/image" Target="media/image133.png"/><Relationship Id="rId149" Type="http://schemas.openxmlformats.org/officeDocument/2006/relationships/image" Target="media/image134.png"/><Relationship Id="rId152" Type="http://schemas.openxmlformats.org/officeDocument/2006/relationships/image" Target="media/image135.png"/><Relationship Id="rId155" Type="http://schemas.openxmlformats.org/officeDocument/2006/relationships/image" Target="media/image136.png"/><Relationship Id="rId158" Type="http://schemas.openxmlformats.org/officeDocument/2006/relationships/image" Target="media/image137.png"/><Relationship Id="rId161"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37" Type="http://schemas.openxmlformats.org/officeDocument/2006/relationships/hyperlink" Target="http://www.sec.gov/Archives/edgar/data/1498157/000114420412036699/v317004_ex2-1.htm" TargetMode="External"/><Relationship Id="rId139" Type="http://schemas.openxmlformats.org/officeDocument/2006/relationships/hyperlink" Target="http://www.sec.gov/Archives/edgar/data/1552800/000114420412037509/v316486_ex3-1.htm" TargetMode="External"/><Relationship Id="rId140" Type="http://schemas.openxmlformats.org/officeDocument/2006/relationships/hyperlink" Target="http://www.sec.gov/Archives/edgar/data/1552800/000114420412037509/v316486_ex3-2.htm" TargetMode="External"/><Relationship Id="rId142" Type="http://schemas.openxmlformats.org/officeDocument/2006/relationships/hyperlink" Target="http://www.sec.gov/Archives/edgar/data/1552800/000114420412040584/v318344_ex4-1.htm" TargetMode="External"/><Relationship Id="rId144" Type="http://schemas.openxmlformats.org/officeDocument/2006/relationships/hyperlink" Target="http://www.sec.gov/Archives/edgar/data/1552800/000114420413041320/v350939_ex10-1.htm" TargetMode="External"/><Relationship Id="rId145" Type="http://schemas.openxmlformats.org/officeDocument/2006/relationships/hyperlink" Target="http://www.sec.gov/Archives/edgar/data/1552800/000114420413041320/v350939_ex10-2.htm" TargetMode="External"/><Relationship Id="rId147" Type="http://schemas.openxmlformats.org/officeDocument/2006/relationships/hyperlink" Target="http://www.sec.gov/Archives/edgar/data/1552800/000114420412040584/v318344_ex10-13.htm" TargetMode="External"/><Relationship Id="rId148" Type="http://schemas.openxmlformats.org/officeDocument/2006/relationships/hyperlink" Target="http://www.sec.gov/Archives/edgar/data/1552800/000114420413041320/v350939_ex10-3.htm" TargetMode="External"/><Relationship Id="rId150" Type="http://schemas.openxmlformats.org/officeDocument/2006/relationships/hyperlink" Target="http://www.sec.gov/Archives/edgar/data/1552800/000114420413041320/v350939_ex10-4.htm" TargetMode="External"/><Relationship Id="rId151" Type="http://schemas.openxmlformats.org/officeDocument/2006/relationships/hyperlink" Target="http://www.sec.gov/Archives/edgar/data/1552800/000114420413041320/v350939_ex10-5.htm" TargetMode="External"/><Relationship Id="rId153" Type="http://schemas.openxmlformats.org/officeDocument/2006/relationships/hyperlink" Target="http://www.sec.gov/Archives/edgar/data/1552800/000143774914012416/ex10-1.htm" TargetMode="External"/><Relationship Id="rId154" Type="http://schemas.openxmlformats.org/officeDocument/2006/relationships/hyperlink" Target="http://www.sec.gov/Archives/edgar/data/1552800/000155280017000005/tts-20170119xex10_1.htm" TargetMode="External"/><Relationship Id="rId156" Type="http://schemas.openxmlformats.org/officeDocument/2006/relationships/hyperlink" Target="http://www.sec.gov/Archives/edgar/data/1552800/000155280017000021/tts-20170331xex10_3.htm" TargetMode="External"/><Relationship Id="rId157" Type="http://schemas.openxmlformats.org/officeDocument/2006/relationships/hyperlink" Target="http://www.sec.gov/Archives/edgar/data/1552800/000155280017000057/tts-20170930xex10_2.htm" TargetMode="External"/><Relationship Id="rId159" Type="http://schemas.openxmlformats.org/officeDocument/2006/relationships/hyperlink" Target="http://www.sec.gov/Archives/edgar/data/1552800/000155280018000003/tts-20180219xex10_1.htm" TargetMode="External"/><Relationship Id="rId160" Type="http://schemas.openxmlformats.org/officeDocument/2006/relationships/hyperlink" Target="http://www.sec.gov/Archives/edgar/data/1552800/000155280018000031/tts-20180918xex10_1.htm" TargetMode="External"/><Relationship Id="rId162" Type="http://schemas.openxmlformats.org/officeDocument/2006/relationships/hyperlink" Target="http://www.sec.gov/Archives/edgar/data/1552800/000155280018000031/tts-20180918xex10_2.htm" TargetMode="External"/><Relationship Id="rId163" Type="http://schemas.openxmlformats.org/officeDocument/2006/relationships/hyperlink" Target="http://www.sec.gov/Archives/edgar/data/1552800/000155280018000031/tts-20180918xex10_3.htm" TargetMode="External"/><Relationship Id="rId164" Type="http://schemas.openxmlformats.org/officeDocument/2006/relationships/hyperlink" Target="http://www.sec.gov/Archives/edgar/data/1552800/000155280018000031/tts-20180918xex10_4.htm" TargetMode="External"/><Relationship Id="rId167" Type="http://schemas.openxmlformats.org/officeDocument/2006/relationships/hyperlink" Target="http://www.sec.gov/Archives/edgar/data/1552800/000155280019000029/tts-20190930xex10_1.htm" TargetMode="External"/><Relationship Id="rId168" Type="http://schemas.openxmlformats.org/officeDocument/2006/relationships/hyperlink" Target="http://www.sec.gov/Archives/edgar/data/1552800/000155280019000029/tts-20190930xex10_2.htm" TargetMode="External"/><Relationship Id="rId169" Type="http://schemas.openxmlformats.org/officeDocument/2006/relationships/hyperlink" Target="http://www.sec.gov/Archives/edgar/data/1552800/000155280019000029/tts-20190930xex10_3.htm" TargetMode="External"/><Relationship Id="rId170" Type="http://schemas.openxmlformats.org/officeDocument/2006/relationships/hyperlink" Target="http://www.sec.gov/Archives/edgar/data/1552800/000155280017000012/tts-20161231xex21_1.htm" TargetMode="External"/><Relationship Id="rId171" Type="http://schemas.openxmlformats.org/officeDocument/2006/relationships/hyperlink" Target="http://www.sec.gov/Archives/edgar/data/1552800/000110465920003488/tm203308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2020-03-13T16:19:44Z</dcterms:created>
  <dcterms:modified xsi:type="dcterms:W3CDTF">2020-03-13T16:19:44Z</dcterms:modified>
</cp:coreProperties>
</file>