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7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line="225"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ind w:left="4580"/>
        <w:spacing w:after="0" w:line="224" w:lineRule="auto"/>
        <w:rPr>
          <w:sz w:val="20"/>
          <w:szCs w:val="20"/>
          <w:color w:val="auto"/>
        </w:rPr>
      </w:pPr>
      <w:r>
        <w:rPr>
          <w:rFonts w:ascii="Arial" w:cs="Arial" w:eastAsia="Arial" w:hAnsi="Arial"/>
          <w:sz w:val="14"/>
          <w:szCs w:val="14"/>
          <w:color w:val="auto"/>
        </w:rPr>
        <w:t>_____________________________</w:t>
      </w:r>
    </w:p>
    <w:p>
      <w:pPr>
        <w:ind w:left="60"/>
        <w:spacing w:after="0" w:line="235" w:lineRule="auto"/>
        <w:rPr>
          <w:sz w:val="20"/>
          <w:szCs w:val="20"/>
          <w:color w:val="auto"/>
        </w:rPr>
      </w:pPr>
      <w:r>
        <w:rPr>
          <w:rFonts w:ascii="Arial" w:cs="Arial" w:eastAsia="Arial" w:hAnsi="Arial"/>
          <w:sz w:val="18"/>
          <w:szCs w:val="18"/>
          <w:color w:val="auto"/>
        </w:rPr>
        <w:t>(Mark One)</w:t>
      </w:r>
    </w:p>
    <w:p>
      <w:pPr>
        <w:ind w:left="320" w:hanging="299"/>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20" w:hanging="299"/>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For the transition period from – to –</w:t>
      </w:r>
    </w:p>
    <w:p>
      <w:pPr>
        <w:spacing w:after="0" w:line="13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001-35629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TILE SHOP HOLDINGS, INC.</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0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60"/>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14000 Carlson Parkway</w:t>
            </w:r>
          </w:p>
        </w:tc>
        <w:tc>
          <w:tcPr>
            <w:tcW w:w="3700" w:type="dxa"/>
            <w:vAlign w:val="bottom"/>
          </w:tcPr>
          <w:p>
            <w:pPr>
              <w:spacing w:after="0"/>
              <w:rPr>
                <w:sz w:val="24"/>
                <w:szCs w:val="24"/>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Arial" w:cs="Arial" w:eastAsia="Arial" w:hAnsi="Arial"/>
                <w:sz w:val="18"/>
                <w:szCs w:val="18"/>
                <w:b w:val="1"/>
                <w:bCs w:val="1"/>
                <w:color w:val="auto"/>
                <w:w w:val="91"/>
              </w:rPr>
              <w:t>Plymouth, Minnesota</w:t>
            </w:r>
          </w:p>
        </w:tc>
        <w:tc>
          <w:tcPr>
            <w:tcW w:w="3700" w:type="dxa"/>
            <w:vAlign w:val="bottom"/>
          </w:tcPr>
          <w:p>
            <w:pPr>
              <w:jc w:val="right"/>
              <w:ind w:right="1050"/>
              <w:spacing w:after="0" w:line="189" w:lineRule="exact"/>
              <w:rPr>
                <w:sz w:val="20"/>
                <w:szCs w:val="20"/>
                <w:color w:val="auto"/>
              </w:rPr>
            </w:pPr>
            <w:r>
              <w:rPr>
                <w:rFonts w:ascii="Arial" w:cs="Arial" w:eastAsia="Arial" w:hAnsi="Arial"/>
                <w:sz w:val="18"/>
                <w:szCs w:val="18"/>
                <w:b w:val="1"/>
                <w:bCs w:val="1"/>
                <w:color w:val="auto"/>
              </w:rPr>
              <w:t>55441</w:t>
            </w:r>
          </w:p>
        </w:tc>
      </w:tr>
      <w:tr>
        <w:trPr>
          <w:trHeight w:val="234"/>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(763) 852-2950</w:t>
      </w:r>
    </w:p>
    <w:p>
      <w:pPr>
        <w:jc w:val="center"/>
        <w:ind w:right="-119"/>
        <w:spacing w:after="0" w:line="227" w:lineRule="auto"/>
        <w:rPr>
          <w:sz w:val="20"/>
          <w:szCs w:val="20"/>
          <w:color w:val="auto"/>
        </w:rPr>
      </w:pPr>
      <w:r>
        <w:rPr>
          <w:rFonts w:ascii="Arial" w:cs="Arial" w:eastAsia="Arial" w:hAnsi="Arial"/>
          <w:sz w:val="18"/>
          <w:szCs w:val="18"/>
          <w:b w:val="1"/>
          <w:bCs w:val="1"/>
          <w:color w:val="auto"/>
        </w:rPr>
        <w:t>(Registrant’s telephone number, including area code)</w:t>
      </w:r>
    </w:p>
    <w:p>
      <w:pPr>
        <w:ind w:left="4580"/>
        <w:spacing w:after="0" w:line="214" w:lineRule="auto"/>
        <w:rPr>
          <w:sz w:val="20"/>
          <w:szCs w:val="20"/>
          <w:color w:val="auto"/>
        </w:rPr>
      </w:pPr>
      <w:r>
        <w:rPr>
          <w:rFonts w:ascii="Arial" w:cs="Arial" w:eastAsia="Arial" w:hAnsi="Arial"/>
          <w:sz w:val="14"/>
          <w:szCs w:val="14"/>
          <w:color w:val="auto"/>
        </w:rPr>
        <w:t>_____________________________</w:t>
      </w: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648" w:right="459" w:bottom="1440" w:gutter="0" w:footer="0" w:header="0"/>
        </w:sectPr>
      </w:pPr>
    </w:p>
    <w:p>
      <w:pPr>
        <w:spacing w:after="0" w:line="155"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5" w:lineRule="exact"/>
        <w:rPr>
          <w:sz w:val="24"/>
          <w:szCs w:val="24"/>
          <w:color w:val="auto"/>
        </w:rPr>
      </w:pPr>
    </w:p>
    <w:p>
      <w:pPr>
        <w:sectPr>
          <w:pgSz w:w="11900" w:h="16838" w:orient="portrait"/>
          <w:cols w:equalWidth="0" w:num="3">
            <w:col w:w="3960" w:space="720"/>
            <w:col w:w="2100" w:space="720"/>
            <w:col w:w="3620"/>
          </w:cols>
          <w:pgMar w:left="320" w:top="648" w:right="459" w:bottom="1440" w:gutter="0" w:footer="0" w:header="0"/>
          <w:type w:val="continuous"/>
        </w:sectPr>
      </w:pPr>
    </w:p>
    <w:p>
      <w:pPr>
        <w:spacing w:after="0" w:line="11" w:lineRule="exact"/>
        <w:rPr>
          <w:sz w:val="24"/>
          <w:szCs w:val="24"/>
          <w:color w:val="auto"/>
        </w:rPr>
      </w:pPr>
    </w:p>
    <w:p>
      <w:pPr>
        <w:ind w:left="840"/>
        <w:spacing w:after="0"/>
        <w:rPr>
          <w:sz w:val="20"/>
          <w:szCs w:val="20"/>
          <w:color w:val="auto"/>
        </w:rPr>
      </w:pPr>
      <w:r>
        <w:rPr>
          <w:rFonts w:ascii="Arial" w:cs="Arial" w:eastAsia="Arial" w:hAnsi="Arial"/>
          <w:sz w:val="12"/>
          <w:szCs w:val="12"/>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TTSH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6" w:lineRule="exact"/>
        <w:rPr>
          <w:sz w:val="24"/>
          <w:szCs w:val="24"/>
          <w:color w:val="auto"/>
        </w:rPr>
      </w:pPr>
    </w:p>
    <w:p>
      <w:pPr>
        <w:sectPr>
          <w:pgSz w:w="11900" w:h="16838" w:orient="portrait"/>
          <w:cols w:equalWidth="0" w:num="3">
            <w:col w:w="4440" w:space="720"/>
            <w:col w:w="2240" w:space="720"/>
            <w:col w:w="3000"/>
          </w:cols>
          <w:pgMar w:left="320" w:top="648" w:right="459" w:bottom="1440" w:gutter="0" w:footer="0" w:header="0"/>
          <w:type w:val="continuous"/>
        </w:sectPr>
      </w:pPr>
    </w:p>
    <w:p>
      <w:pPr>
        <w:ind w:right="180"/>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ind w:right="200"/>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189"/>
        </w:trPr>
        <w:tc>
          <w:tcPr>
            <w:tcW w:w="1840" w:type="dxa"/>
            <w:vAlign w:val="bottom"/>
          </w:tcPr>
          <w:p>
            <w:pPr>
              <w:spacing w:after="0" w:line="189" w:lineRule="exact"/>
              <w:rPr>
                <w:sz w:val="20"/>
                <w:szCs w:val="20"/>
                <w:color w:val="auto"/>
              </w:rPr>
            </w:pPr>
            <w:r>
              <w:rPr>
                <w:rFonts w:ascii="Arial" w:cs="Arial" w:eastAsia="Arial" w:hAnsi="Arial"/>
                <w:sz w:val="18"/>
                <w:szCs w:val="18"/>
                <w:color w:val="auto"/>
              </w:rPr>
              <w:t>Non-accelerated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line="189" w:lineRule="exact"/>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7"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90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May 2, 2022, there were 52,101,412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48"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6"/>
          </w:tcPr>
          <w:p>
            <w:pPr>
              <w:jc w:val="center"/>
              <w:ind w:right="3480"/>
              <w:spacing w:after="0"/>
              <w:rPr>
                <w:sz w:val="20"/>
                <w:szCs w:val="20"/>
                <w:color w:val="auto"/>
              </w:rPr>
            </w:pPr>
            <w:r>
              <w:rPr>
                <w:rFonts w:ascii="Arial" w:cs="Arial" w:eastAsia="Arial" w:hAnsi="Arial"/>
                <w:sz w:val="18"/>
                <w:szCs w:val="18"/>
                <w:b w:val="1"/>
                <w:bCs w:val="1"/>
                <w:color w:val="auto"/>
              </w:rPr>
              <w:t>TILE SHOP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bottom w:val="single" w:sz="8" w:color="0563C1"/>
            </w:tcBorders>
            <w:gridSpan w:val="12"/>
            <w:shd w:val="clear" w:color="auto" w:fill="CCEEFF"/>
          </w:tcPr>
          <w:p>
            <w:pPr>
              <w:spacing w:after="0" w:line="142" w:lineRule="exact"/>
              <w:rPr>
                <w:rFonts w:ascii="Arial" w:cs="Arial" w:eastAsia="Arial" w:hAnsi="Arial"/>
                <w:sz w:val="16"/>
                <w:szCs w:val="16"/>
                <w:b w:val="1"/>
                <w:bCs w:val="1"/>
                <w:color w:val="0563C1"/>
              </w:rPr>
            </w:pPr>
            <w:hyperlink w:anchor="page3">
              <w:r>
                <w:rPr>
                  <w:rFonts w:ascii="Arial" w:cs="Arial" w:eastAsia="Arial" w:hAnsi="Arial"/>
                  <w:sz w:val="16"/>
                  <w:szCs w:val="16"/>
                  <w:b w:val="1"/>
                  <w:bCs w:val="1"/>
                  <w:color w:val="0563C1"/>
                </w:rPr>
                <w:t>PART I. FINANCIAL INFORMATION</w:t>
              </w:r>
            </w:hyperlink>
          </w:p>
        </w:tc>
        <w:tc>
          <w:tcPr>
            <w:tcW w:w="7520" w:type="dxa"/>
            <w:vAlign w:val="bottom"/>
            <w:tcBorders>
              <w:top w:val="single" w:sz="8" w:color="CCEEFF"/>
              <w:bottom w:val="single" w:sz="8" w:color="CCEEFF"/>
            </w:tcBorders>
            <w:gridSpan w:val="10"/>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rFonts w:ascii="Arial" w:cs="Arial" w:eastAsia="Arial" w:hAnsi="Arial"/>
                <w:sz w:val="18"/>
                <w:szCs w:val="18"/>
                <w:color w:val="0563C1"/>
                <w:w w:val="90"/>
              </w:rPr>
            </w:pPr>
            <w:hyperlink w:anchor="page3">
              <w:r>
                <w:rPr>
                  <w:rFonts w:ascii="Arial" w:cs="Arial" w:eastAsia="Arial" w:hAnsi="Arial"/>
                  <w:sz w:val="18"/>
                  <w:szCs w:val="18"/>
                  <w:color w:val="0563C1"/>
                  <w:w w:val="90"/>
                </w:rPr>
                <w:t>Item 1.</w:t>
              </w:r>
            </w:hyperlink>
          </w:p>
        </w:tc>
        <w:tc>
          <w:tcPr>
            <w:tcW w:w="460" w:type="dxa"/>
            <w:vAlign w:val="bottom"/>
            <w:gridSpan w:val="3"/>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3">
              <w:r>
                <w:rPr>
                  <w:rFonts w:ascii="Arial" w:cs="Arial" w:eastAsia="Arial" w:hAnsi="Arial"/>
                  <w:sz w:val="18"/>
                  <w:szCs w:val="18"/>
                  <w:color w:val="0563C1"/>
                </w:rPr>
                <w:t>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563C1"/>
            </w:tcBorders>
            <w:gridSpan w:val="9"/>
            <w:shd w:val="clear" w:color="auto" w:fill="CCEEFF"/>
          </w:tcPr>
          <w:p>
            <w:pPr>
              <w:spacing w:after="0" w:line="162" w:lineRule="exact"/>
              <w:rPr>
                <w:rFonts w:ascii="Arial" w:cs="Arial" w:eastAsia="Arial" w:hAnsi="Arial"/>
                <w:sz w:val="18"/>
                <w:szCs w:val="18"/>
                <w:color w:val="0563C1"/>
                <w:w w:val="89"/>
              </w:rPr>
            </w:pPr>
            <w:hyperlink w:anchor="page3">
              <w:r>
                <w:rPr>
                  <w:rFonts w:ascii="Arial" w:cs="Arial" w:eastAsia="Arial" w:hAnsi="Arial"/>
                  <w:sz w:val="18"/>
                  <w:szCs w:val="18"/>
                  <w:color w:val="0563C1"/>
                  <w:w w:val="89"/>
                </w:rPr>
                <w:t>Consolidated Balance Sheets</w:t>
              </w:r>
            </w:hyperlink>
          </w:p>
        </w:tc>
        <w:tc>
          <w:tcPr>
            <w:tcW w:w="7480" w:type="dxa"/>
            <w:vAlign w:val="bottom"/>
            <w:tcBorders>
              <w:bottom w:val="single" w:sz="8" w:color="CCEEFF"/>
            </w:tcBorders>
            <w:gridSpan w:val="9"/>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Borders>
              <w:bottom w:val="single" w:sz="8" w:color="0563C1"/>
            </w:tcBorders>
            <w:gridSpan w:val="11"/>
          </w:tcPr>
          <w:p>
            <w:pPr>
              <w:spacing w:after="0" w:line="162" w:lineRule="exact"/>
              <w:rPr>
                <w:rFonts w:ascii="Arial" w:cs="Arial" w:eastAsia="Arial" w:hAnsi="Arial"/>
                <w:sz w:val="18"/>
                <w:szCs w:val="18"/>
                <w:color w:val="0563C1"/>
                <w:w w:val="90"/>
              </w:rPr>
            </w:pPr>
            <w:hyperlink w:anchor="page4">
              <w:r>
                <w:rPr>
                  <w:rFonts w:ascii="Arial" w:cs="Arial" w:eastAsia="Arial" w:hAnsi="Arial"/>
                  <w:sz w:val="18"/>
                  <w:szCs w:val="18"/>
                  <w:color w:val="0563C1"/>
                  <w:w w:val="90"/>
                </w:rPr>
                <w:t>Consolidated Statements of Operations</w:t>
              </w:r>
            </w:hyperlink>
          </w:p>
        </w:tc>
        <w:tc>
          <w:tcPr>
            <w:tcW w:w="6760" w:type="dxa"/>
            <w:vAlign w:val="bottom"/>
            <w:gridSpan w:val="7"/>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740" w:type="dxa"/>
            <w:vAlign w:val="bottom"/>
            <w:tcBorders>
              <w:bottom w:val="single" w:sz="8" w:color="0563C1"/>
            </w:tcBorders>
            <w:gridSpan w:val="14"/>
            <w:shd w:val="clear" w:color="auto" w:fill="CCEEFF"/>
          </w:tcPr>
          <w:p>
            <w:pPr>
              <w:spacing w:after="0" w:line="162" w:lineRule="exact"/>
              <w:rPr>
                <w:rFonts w:ascii="Arial" w:cs="Arial" w:eastAsia="Arial" w:hAnsi="Arial"/>
                <w:sz w:val="18"/>
                <w:szCs w:val="18"/>
                <w:color w:val="0563C1"/>
                <w:w w:val="89"/>
              </w:rPr>
            </w:pPr>
            <w:hyperlink w:anchor="page5">
              <w:r>
                <w:rPr>
                  <w:rFonts w:ascii="Arial" w:cs="Arial" w:eastAsia="Arial" w:hAnsi="Arial"/>
                  <w:sz w:val="18"/>
                  <w:szCs w:val="18"/>
                  <w:color w:val="0563C1"/>
                  <w:w w:val="89"/>
                </w:rPr>
                <w:t>Consolidated Statements of Comprehensive Income</w:t>
              </w:r>
            </w:hyperlink>
          </w:p>
        </w:tc>
        <w:tc>
          <w:tcPr>
            <w:tcW w:w="5880" w:type="dxa"/>
            <w:vAlign w:val="bottom"/>
            <w:tcBorders>
              <w:bottom w:val="single" w:sz="8" w:color="CCEEFF"/>
            </w:tcBorders>
            <w:gridSpan w:val="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5">
              <w:r>
                <w:rPr>
                  <w:rFonts w:ascii="Arial" w:cs="Arial" w:eastAsia="Arial" w:hAnsi="Arial"/>
                  <w:sz w:val="18"/>
                  <w:szCs w:val="18"/>
                  <w:color w:val="0563C1"/>
                </w:rPr>
                <w:t>Consolidated Statements of Stockholders’ Equity</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tcBorders>
              <w:top w:val="single" w:sz="8" w:color="0563C1"/>
            </w:tcBorders>
            <w:gridSpan w:val="13"/>
            <w:shd w:val="clear" w:color="auto" w:fill="CCEEFF"/>
          </w:tcPr>
          <w:p>
            <w:pPr>
              <w:spacing w:after="0" w:line="162" w:lineRule="exact"/>
              <w:rPr>
                <w:rFonts w:ascii="Arial" w:cs="Arial" w:eastAsia="Arial" w:hAnsi="Arial"/>
                <w:sz w:val="18"/>
                <w:szCs w:val="18"/>
                <w:color w:val="0563C1"/>
              </w:rPr>
            </w:pPr>
            <w:hyperlink w:anchor="page7">
              <w:r>
                <w:rPr>
                  <w:rFonts w:ascii="Arial" w:cs="Arial" w:eastAsia="Arial" w:hAnsi="Arial"/>
                  <w:sz w:val="18"/>
                  <w:szCs w:val="18"/>
                  <w:color w:val="0563C1"/>
                </w:rPr>
                <w:t>Consolidated Statements of Cash Flows</w:t>
              </w:r>
            </w:hyperlink>
          </w:p>
        </w:tc>
        <w:tc>
          <w:tcPr>
            <w:tcW w:w="6080" w:type="dxa"/>
            <w:vAlign w:val="bottom"/>
            <w:gridSpan w:val="5"/>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8">
              <w:r>
                <w:rPr>
                  <w:rFonts w:ascii="Arial" w:cs="Arial" w:eastAsia="Arial" w:hAnsi="Arial"/>
                  <w:sz w:val="18"/>
                  <w:szCs w:val="18"/>
                  <w:color w:val="0563C1"/>
                </w:rPr>
                <w:t>Notes to Consolidated 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15">
              <w:r>
                <w:rPr>
                  <w:rFonts w:ascii="Arial" w:cs="Arial" w:eastAsia="Arial" w:hAnsi="Arial"/>
                  <w:sz w:val="18"/>
                  <w:szCs w:val="18"/>
                  <w:color w:val="0563C1"/>
                  <w:w w:val="90"/>
                </w:rPr>
                <w:t>Item 2.</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460" w:type="dxa"/>
            <w:vAlign w:val="bottom"/>
            <w:tcBorders>
              <w:bottom w:val="single" w:sz="8" w:color="0563C1"/>
            </w:tcBorders>
            <w:gridSpan w:val="17"/>
            <w:shd w:val="clear" w:color="auto" w:fill="CCEEFF"/>
          </w:tcPr>
          <w:p>
            <w:pPr>
              <w:spacing w:after="0" w:line="162" w:lineRule="exact"/>
              <w:rPr>
                <w:rFonts w:ascii="Arial" w:cs="Arial" w:eastAsia="Arial" w:hAnsi="Arial"/>
                <w:sz w:val="18"/>
                <w:szCs w:val="18"/>
                <w:color w:val="0563C1"/>
                <w:w w:val="90"/>
              </w:rPr>
            </w:pPr>
            <w:hyperlink w:anchor="page15">
              <w:r>
                <w:rPr>
                  <w:rFonts w:ascii="Arial" w:cs="Arial" w:eastAsia="Arial" w:hAnsi="Arial"/>
                  <w:sz w:val="18"/>
                  <w:szCs w:val="18"/>
                  <w:color w:val="0563C1"/>
                  <w:w w:val="90"/>
                </w:rPr>
                <w:t>Management’s Discussion and Analysis of Financial Condition and Results of Operations</w:t>
              </w:r>
            </w:hyperlink>
          </w:p>
        </w:tc>
        <w:tc>
          <w:tcPr>
            <w:tcW w:w="3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tcPr>
          <w:p>
            <w:pPr>
              <w:spacing w:after="0" w:line="162" w:lineRule="exact"/>
              <w:rPr>
                <w:rFonts w:ascii="Arial" w:cs="Arial" w:eastAsia="Arial" w:hAnsi="Arial"/>
                <w:sz w:val="18"/>
                <w:szCs w:val="18"/>
                <w:color w:val="0563C1"/>
                <w:w w:val="90"/>
              </w:rPr>
            </w:pPr>
            <w:hyperlink w:anchor="page20">
              <w:r>
                <w:rPr>
                  <w:rFonts w:ascii="Arial" w:cs="Arial" w:eastAsia="Arial" w:hAnsi="Arial"/>
                  <w:sz w:val="18"/>
                  <w:szCs w:val="18"/>
                  <w:color w:val="0563C1"/>
                  <w:w w:val="90"/>
                </w:rPr>
                <w:t>Item 3.</w:t>
              </w:r>
            </w:hyperlink>
          </w:p>
        </w:tc>
        <w:tc>
          <w:tcPr>
            <w:tcW w:w="460" w:type="dxa"/>
            <w:vAlign w:val="bottom"/>
            <w:gridSpan w:val="3"/>
          </w:tcPr>
          <w:p>
            <w:pPr>
              <w:spacing w:after="0"/>
              <w:rPr>
                <w:sz w:val="14"/>
                <w:szCs w:val="14"/>
                <w:color w:val="auto"/>
              </w:rPr>
            </w:pPr>
          </w:p>
        </w:tc>
        <w:tc>
          <w:tcPr>
            <w:tcW w:w="4360" w:type="dxa"/>
            <w:vAlign w:val="bottom"/>
            <w:tcBorders>
              <w:bottom w:val="single" w:sz="8" w:color="0563C1"/>
            </w:tcBorders>
            <w:gridSpan w:val="16"/>
          </w:tcPr>
          <w:p>
            <w:pPr>
              <w:spacing w:after="0" w:line="162" w:lineRule="exact"/>
              <w:rPr>
                <w:rFonts w:ascii="Arial" w:cs="Arial" w:eastAsia="Arial" w:hAnsi="Arial"/>
                <w:sz w:val="18"/>
                <w:szCs w:val="18"/>
                <w:color w:val="0563C1"/>
                <w:w w:val="92"/>
              </w:rPr>
            </w:pPr>
            <w:hyperlink w:anchor="page20">
              <w:r>
                <w:rPr>
                  <w:rFonts w:ascii="Arial" w:cs="Arial" w:eastAsia="Arial" w:hAnsi="Arial"/>
                  <w:sz w:val="18"/>
                  <w:szCs w:val="18"/>
                  <w:color w:val="0563C1"/>
                  <w:w w:val="92"/>
                </w:rPr>
                <w:t>Quantitative and Qualitative Disclosures About Market Risk</w:t>
              </w:r>
            </w:hyperlink>
          </w:p>
        </w:tc>
        <w:tc>
          <w:tcPr>
            <w:tcW w:w="5260" w:type="dxa"/>
            <w:vAlign w:val="bottom"/>
            <w:gridSpan w:val="2"/>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0">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rFonts w:ascii="Arial" w:cs="Arial" w:eastAsia="Arial" w:hAnsi="Arial"/>
                <w:sz w:val="18"/>
                <w:szCs w:val="18"/>
                <w:color w:val="0563C1"/>
              </w:rPr>
            </w:pPr>
            <w:hyperlink w:anchor="page20">
              <w:r>
                <w:rPr>
                  <w:rFonts w:ascii="Arial" w:cs="Arial" w:eastAsia="Arial" w:hAnsi="Arial"/>
                  <w:sz w:val="18"/>
                  <w:szCs w:val="18"/>
                  <w:color w:val="0563C1"/>
                </w:rPr>
                <w:t>Controls and Procedures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CCEEFF"/>
            </w:tcBorders>
            <w:shd w:val="clear" w:color="auto" w:fill="0563C1"/>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Borders>
              <w:bottom w:val="single" w:sz="8" w:color="0563C1"/>
            </w:tcBorders>
            <w:gridSpan w:val="11"/>
          </w:tcPr>
          <w:p>
            <w:pPr>
              <w:spacing w:after="0" w:line="162" w:lineRule="exact"/>
              <w:rPr>
                <w:rFonts w:ascii="Arial" w:cs="Arial" w:eastAsia="Arial" w:hAnsi="Arial"/>
                <w:sz w:val="18"/>
                <w:szCs w:val="18"/>
                <w:b w:val="1"/>
                <w:bCs w:val="1"/>
                <w:color w:val="0563C1"/>
              </w:rPr>
            </w:pPr>
            <w:hyperlink w:anchor="page21">
              <w:r>
                <w:rPr>
                  <w:rFonts w:ascii="Arial" w:cs="Arial" w:eastAsia="Arial" w:hAnsi="Arial"/>
                  <w:sz w:val="18"/>
                  <w:szCs w:val="18"/>
                  <w:b w:val="1"/>
                  <w:bCs w:val="1"/>
                  <w:color w:val="0563C1"/>
                </w:rPr>
                <w:t>PART II. OTHER INFORMATION</w:t>
              </w:r>
            </w:hyperlink>
          </w:p>
        </w:tc>
        <w:tc>
          <w:tcPr>
            <w:tcW w:w="7820" w:type="dxa"/>
            <w:vAlign w:val="bottom"/>
            <w:gridSpan w:val="11"/>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1">
              <w:r>
                <w:rPr>
                  <w:rFonts w:ascii="Arial" w:cs="Arial" w:eastAsia="Arial" w:hAnsi="Arial"/>
                  <w:sz w:val="18"/>
                  <w:szCs w:val="18"/>
                  <w:color w:val="0563C1"/>
                  <w:w w:val="90"/>
                </w:rPr>
                <w:t>Item 1.</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0563C1"/>
            </w:tcBorders>
            <w:gridSpan w:val="5"/>
            <w:shd w:val="clear" w:color="auto" w:fill="CCEEFF"/>
          </w:tcPr>
          <w:p>
            <w:pPr>
              <w:spacing w:after="0" w:line="162" w:lineRule="exact"/>
              <w:rPr>
                <w:rFonts w:ascii="Arial" w:cs="Arial" w:eastAsia="Arial" w:hAnsi="Arial"/>
                <w:sz w:val="18"/>
                <w:szCs w:val="18"/>
                <w:color w:val="0563C1"/>
                <w:w w:val="88"/>
              </w:rPr>
            </w:pPr>
            <w:hyperlink w:anchor="page21">
              <w:r>
                <w:rPr>
                  <w:rFonts w:ascii="Arial" w:cs="Arial" w:eastAsia="Arial" w:hAnsi="Arial"/>
                  <w:sz w:val="18"/>
                  <w:szCs w:val="18"/>
                  <w:color w:val="0563C1"/>
                  <w:w w:val="88"/>
                </w:rPr>
                <w:t>Legal Proceedings</w:t>
              </w:r>
            </w:hyperlink>
          </w:p>
        </w:tc>
        <w:tc>
          <w:tcPr>
            <w:tcW w:w="8280" w:type="dxa"/>
            <w:vAlign w:val="bottom"/>
            <w:tcBorders>
              <w:bottom w:val="single" w:sz="8" w:color="CCEEFF"/>
            </w:tcBorders>
            <w:gridSpan w:val="13"/>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21">
              <w:r>
                <w:rPr>
                  <w:rFonts w:ascii="Arial" w:cs="Arial" w:eastAsia="Arial" w:hAnsi="Arial"/>
                  <w:sz w:val="18"/>
                  <w:szCs w:val="18"/>
                  <w:color w:val="0563C1"/>
                </w:rPr>
                <w:t>Item 1A.</w:t>
              </w:r>
            </w:hyperlink>
          </w:p>
        </w:tc>
        <w:tc>
          <w:tcPr>
            <w:tcW w:w="9620" w:type="dxa"/>
            <w:vAlign w:val="bottom"/>
            <w:gridSpan w:val="18"/>
          </w:tcPr>
          <w:p>
            <w:pPr>
              <w:spacing w:after="0" w:line="162" w:lineRule="exact"/>
              <w:rPr>
                <w:rFonts w:ascii="Arial" w:cs="Arial" w:eastAsia="Arial" w:hAnsi="Arial"/>
                <w:sz w:val="18"/>
                <w:szCs w:val="18"/>
                <w:color w:val="0563C1"/>
              </w:rPr>
            </w:pPr>
            <w:hyperlink w:anchor="page21">
              <w:r>
                <w:rPr>
                  <w:rFonts w:ascii="Arial" w:cs="Arial" w:eastAsia="Arial" w:hAnsi="Arial"/>
                  <w:sz w:val="18"/>
                  <w:szCs w:val="18"/>
                  <w:color w:val="0563C1"/>
                </w:rPr>
                <w:t>Risk Factors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1">
              <w:r>
                <w:rPr>
                  <w:rFonts w:ascii="Arial" w:cs="Arial" w:eastAsia="Arial" w:hAnsi="Arial"/>
                  <w:sz w:val="18"/>
                  <w:szCs w:val="18"/>
                  <w:color w:val="0563C1"/>
                  <w:w w:val="90"/>
                </w:rPr>
                <w:t>Item 2.</w:t>
              </w:r>
            </w:hyperlink>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rFonts w:ascii="Arial" w:cs="Arial" w:eastAsia="Arial" w:hAnsi="Arial"/>
                <w:sz w:val="18"/>
                <w:szCs w:val="18"/>
                <w:color w:val="0563C1"/>
              </w:rPr>
            </w:pPr>
            <w:hyperlink w:anchor="page21">
              <w:r>
                <w:rPr>
                  <w:rFonts w:ascii="Arial" w:cs="Arial" w:eastAsia="Arial" w:hAnsi="Arial"/>
                  <w:sz w:val="18"/>
                  <w:szCs w:val="18"/>
                  <w:color w:val="0563C1"/>
                </w:rPr>
                <w:t>Unregistered Sales of Equity Securities and Use of Proceeds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tcPr>
          <w:p>
            <w:pPr>
              <w:spacing w:after="0" w:line="162" w:lineRule="exact"/>
              <w:rPr>
                <w:rFonts w:ascii="Arial" w:cs="Arial" w:eastAsia="Arial" w:hAnsi="Arial"/>
                <w:sz w:val="18"/>
                <w:szCs w:val="18"/>
                <w:color w:val="0563C1"/>
                <w:w w:val="90"/>
              </w:rPr>
            </w:pPr>
            <w:hyperlink w:anchor="page21">
              <w:r>
                <w:rPr>
                  <w:rFonts w:ascii="Arial" w:cs="Arial" w:eastAsia="Arial" w:hAnsi="Arial"/>
                  <w:sz w:val="18"/>
                  <w:szCs w:val="18"/>
                  <w:color w:val="0563C1"/>
                  <w:w w:val="90"/>
                </w:rPr>
                <w:t>Item 3.</w:t>
              </w:r>
            </w:hyperlink>
          </w:p>
        </w:tc>
        <w:tc>
          <w:tcPr>
            <w:tcW w:w="460" w:type="dxa"/>
            <w:vAlign w:val="bottom"/>
            <w:tcBorders>
              <w:top w:val="single" w:sz="8" w:color="CCEEFF"/>
            </w:tcBorders>
            <w:gridSpan w:val="3"/>
          </w:tcPr>
          <w:p>
            <w:pPr>
              <w:spacing w:after="0"/>
              <w:rPr>
                <w:sz w:val="14"/>
                <w:szCs w:val="14"/>
                <w:color w:val="auto"/>
              </w:rPr>
            </w:pPr>
          </w:p>
        </w:tc>
        <w:tc>
          <w:tcPr>
            <w:tcW w:w="4340" w:type="dxa"/>
            <w:vAlign w:val="bottom"/>
            <w:tcBorders>
              <w:top w:val="single" w:sz="8" w:color="0563C1"/>
            </w:tcBorders>
            <w:gridSpan w:val="15"/>
          </w:tcPr>
          <w:p>
            <w:pPr>
              <w:spacing w:after="0" w:line="162" w:lineRule="exact"/>
              <w:rPr>
                <w:rFonts w:ascii="Arial" w:cs="Arial" w:eastAsia="Arial" w:hAnsi="Arial"/>
                <w:sz w:val="18"/>
                <w:szCs w:val="18"/>
                <w:color w:val="0563C1"/>
              </w:rPr>
            </w:pPr>
            <w:hyperlink w:anchor="page21">
              <w:r>
                <w:rPr>
                  <w:rFonts w:ascii="Arial" w:cs="Arial" w:eastAsia="Arial" w:hAnsi="Arial"/>
                  <w:sz w:val="18"/>
                  <w:szCs w:val="18"/>
                  <w:color w:val="0563C1"/>
                </w:rPr>
                <w:t>Defaults Upon Senior Securities</w:t>
              </w:r>
            </w:hyperlink>
          </w:p>
        </w:tc>
        <w:tc>
          <w:tcPr>
            <w:tcW w:w="5280" w:type="dxa"/>
            <w:vAlign w:val="bottom"/>
            <w:tcBorders>
              <w:top w:val="single" w:sz="8" w:color="CCEEFF"/>
            </w:tcBorders>
            <w:gridSpan w:val="3"/>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1">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2320" w:type="dxa"/>
            <w:vAlign w:val="bottom"/>
            <w:tcBorders>
              <w:top w:val="single" w:sz="8" w:color="0563C1"/>
            </w:tcBorders>
            <w:gridSpan w:val="10"/>
            <w:shd w:val="clear" w:color="auto" w:fill="CCEEFF"/>
          </w:tcPr>
          <w:p>
            <w:pPr>
              <w:spacing w:after="0" w:line="162" w:lineRule="exact"/>
              <w:rPr>
                <w:rFonts w:ascii="Arial" w:cs="Arial" w:eastAsia="Arial" w:hAnsi="Arial"/>
                <w:sz w:val="18"/>
                <w:szCs w:val="18"/>
                <w:color w:val="0563C1"/>
              </w:rPr>
            </w:pPr>
            <w:hyperlink w:anchor="page21">
              <w:r>
                <w:rPr>
                  <w:rFonts w:ascii="Arial" w:cs="Arial" w:eastAsia="Arial" w:hAnsi="Arial"/>
                  <w:sz w:val="18"/>
                  <w:szCs w:val="18"/>
                  <w:color w:val="0563C1"/>
                </w:rPr>
                <w:t>Mine Safety Disclosures</w:t>
              </w:r>
            </w:hyperlink>
          </w:p>
        </w:tc>
        <w:tc>
          <w:tcPr>
            <w:tcW w:w="7300" w:type="dxa"/>
            <w:vAlign w:val="bottom"/>
            <w:gridSpan w:val="8"/>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bottom w:val="single" w:sz="8" w:color="0563C1"/>
            </w:tcBorders>
          </w:tcPr>
          <w:p>
            <w:pPr>
              <w:spacing w:after="0" w:line="162" w:lineRule="exact"/>
              <w:rPr>
                <w:rFonts w:ascii="Arial" w:cs="Arial" w:eastAsia="Arial" w:hAnsi="Arial"/>
                <w:sz w:val="18"/>
                <w:szCs w:val="18"/>
                <w:color w:val="0563C1"/>
                <w:w w:val="90"/>
              </w:rPr>
            </w:pPr>
            <w:hyperlink w:anchor="page21">
              <w:r>
                <w:rPr>
                  <w:rFonts w:ascii="Arial" w:cs="Arial" w:eastAsia="Arial" w:hAnsi="Arial"/>
                  <w:sz w:val="18"/>
                  <w:szCs w:val="18"/>
                  <w:color w:val="0563C1"/>
                  <w:w w:val="90"/>
                </w:rPr>
                <w:t>Item 5.</w:t>
              </w:r>
            </w:hyperlink>
          </w:p>
        </w:tc>
        <w:tc>
          <w:tcPr>
            <w:tcW w:w="460" w:type="dxa"/>
            <w:vAlign w:val="bottom"/>
            <w:tcBorders>
              <w:top w:val="single" w:sz="8" w:color="CCEEFF"/>
            </w:tcBorders>
            <w:gridSpan w:val="3"/>
          </w:tcPr>
          <w:p>
            <w:pPr>
              <w:spacing w:after="0"/>
              <w:rPr>
                <w:sz w:val="14"/>
                <w:szCs w:val="14"/>
                <w:color w:val="auto"/>
              </w:rPr>
            </w:pPr>
          </w:p>
        </w:tc>
        <w:tc>
          <w:tcPr>
            <w:tcW w:w="1320" w:type="dxa"/>
            <w:vAlign w:val="bottom"/>
            <w:tcBorders>
              <w:top w:val="single" w:sz="8" w:color="0563C1"/>
              <w:bottom w:val="single" w:sz="8" w:color="0563C1"/>
            </w:tcBorders>
            <w:gridSpan w:val="4"/>
          </w:tcPr>
          <w:p>
            <w:pPr>
              <w:spacing w:after="0" w:line="162" w:lineRule="exact"/>
              <w:rPr>
                <w:rFonts w:ascii="Arial" w:cs="Arial" w:eastAsia="Arial" w:hAnsi="Arial"/>
                <w:sz w:val="18"/>
                <w:szCs w:val="18"/>
                <w:color w:val="0563C1"/>
                <w:w w:val="92"/>
              </w:rPr>
            </w:pPr>
            <w:hyperlink w:anchor="page21">
              <w:r>
                <w:rPr>
                  <w:rFonts w:ascii="Arial" w:cs="Arial" w:eastAsia="Arial" w:hAnsi="Arial"/>
                  <w:sz w:val="18"/>
                  <w:szCs w:val="18"/>
                  <w:color w:val="0563C1"/>
                  <w:w w:val="92"/>
                </w:rPr>
                <w:t>Other Information</w:t>
              </w:r>
            </w:hyperlink>
          </w:p>
        </w:tc>
        <w:tc>
          <w:tcPr>
            <w:tcW w:w="480" w:type="dxa"/>
            <w:vAlign w:val="bottom"/>
            <w:tcBorders>
              <w:top w:val="single" w:sz="8" w:color="0563C1"/>
            </w:tcBorders>
            <w:gridSpan w:val="3"/>
          </w:tcPr>
          <w:p>
            <w:pPr>
              <w:spacing w:after="0"/>
              <w:rPr>
                <w:sz w:val="14"/>
                <w:szCs w:val="14"/>
                <w:color w:val="auto"/>
              </w:rPr>
            </w:pPr>
          </w:p>
        </w:tc>
        <w:tc>
          <w:tcPr>
            <w:tcW w:w="7820" w:type="dxa"/>
            <w:vAlign w:val="bottom"/>
            <w:tcBorders>
              <w:top w:val="single" w:sz="8" w:color="CCEEFF"/>
            </w:tcBorders>
            <w:gridSpan w:val="11"/>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3">
              <w:r>
                <w:rPr>
                  <w:rFonts w:ascii="Arial" w:cs="Arial" w:eastAsia="Arial" w:hAnsi="Arial"/>
                  <w:sz w:val="18"/>
                  <w:szCs w:val="18"/>
                  <w:color w:val="0563C1"/>
                  <w:w w:val="90"/>
                </w:rPr>
                <w:t>Item 6.</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0563C1"/>
            </w:tcBorders>
            <w:gridSpan w:val="2"/>
            <w:shd w:val="clear" w:color="auto" w:fill="CCEEFF"/>
          </w:tcPr>
          <w:p>
            <w:pPr>
              <w:spacing w:after="0" w:line="162" w:lineRule="exact"/>
              <w:rPr>
                <w:rFonts w:ascii="Arial" w:cs="Arial" w:eastAsia="Arial" w:hAnsi="Arial"/>
                <w:sz w:val="18"/>
                <w:szCs w:val="18"/>
                <w:color w:val="0563C1"/>
                <w:w w:val="91"/>
              </w:rPr>
            </w:pPr>
            <w:hyperlink w:anchor="page23">
              <w:r>
                <w:rPr>
                  <w:rFonts w:ascii="Arial" w:cs="Arial" w:eastAsia="Arial" w:hAnsi="Arial"/>
                  <w:sz w:val="18"/>
                  <w:szCs w:val="18"/>
                  <w:color w:val="0563C1"/>
                  <w:w w:val="91"/>
                </w:rPr>
                <w:t>Exhibits</w:t>
              </w:r>
            </w:hyperlink>
          </w:p>
        </w:tc>
        <w:tc>
          <w:tcPr>
            <w:tcW w:w="9020" w:type="dxa"/>
            <w:vAlign w:val="bottom"/>
            <w:tcBorders>
              <w:bottom w:val="single" w:sz="8" w:color="CCEEFF"/>
            </w:tcBorders>
            <w:gridSpan w:val="16"/>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23">
              <w:r>
                <w:rPr>
                  <w:rFonts w:ascii="Arial" w:cs="Arial" w:eastAsia="Arial" w:hAnsi="Arial"/>
                  <w:sz w:val="18"/>
                  <w:szCs w:val="18"/>
                  <w:color w:val="0563C1"/>
                </w:rPr>
                <w:t>Signatures</w:t>
              </w:r>
            </w:hyperlink>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7"/>
        </w:trPr>
        <w:tc>
          <w:tcPr>
            <w:tcW w:w="1360" w:type="dxa"/>
            <w:vAlign w:val="bottom"/>
          </w:tcPr>
          <w:p>
            <w:pPr>
              <w:spacing w:after="0"/>
              <w:rPr>
                <w:sz w:val="24"/>
                <w:szCs w:val="24"/>
                <w:color w:val="auto"/>
              </w:rPr>
            </w:pPr>
          </w:p>
        </w:tc>
        <w:tc>
          <w:tcPr>
            <w:tcW w:w="700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7000" w:type="dxa"/>
            <w:vAlign w:val="bottom"/>
          </w:tcPr>
          <w:p>
            <w:pPr>
              <w:jc w:val="center"/>
              <w:ind w:left="1430"/>
              <w:spacing w:after="0" w:line="189" w:lineRule="exact"/>
              <w:rPr>
                <w:sz w:val="20"/>
                <w:szCs w:val="20"/>
                <w:color w:val="auto"/>
              </w:rPr>
            </w:pPr>
            <w:r>
              <w:rPr>
                <w:rFonts w:ascii="Arial" w:cs="Arial" w:eastAsia="Arial" w:hAnsi="Arial"/>
                <w:sz w:val="18"/>
                <w:szCs w:val="18"/>
                <w:color w:val="auto"/>
                <w:w w:val="88"/>
              </w:rPr>
              <w:t>Consolidated Balance Sheets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7000" w:type="dxa"/>
            <w:vAlign w:val="bottom"/>
          </w:tcPr>
          <w:p>
            <w:pPr>
              <w:jc w:val="center"/>
              <w:ind w:left="1390"/>
              <w:spacing w:after="0"/>
              <w:rPr>
                <w:sz w:val="20"/>
                <w:szCs w:val="20"/>
                <w:color w:val="auto"/>
              </w:rPr>
            </w:pPr>
            <w:r>
              <w:rPr>
                <w:rFonts w:ascii="Arial" w:cs="Arial" w:eastAsia="Arial" w:hAnsi="Arial"/>
                <w:sz w:val="18"/>
                <w:szCs w:val="18"/>
                <w:color w:val="auto"/>
                <w:w w:val="88"/>
              </w:rPr>
              <w:t>(dollars in thousands, except per share data)</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1"/>
        </w:trPr>
        <w:tc>
          <w:tcPr>
            <w:tcW w:w="1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189"/>
        </w:trPr>
        <w:tc>
          <w:tcPr>
            <w:tcW w:w="136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2021</w:t>
            </w:r>
          </w:p>
        </w:tc>
      </w:tr>
      <w:tr>
        <w:trPr>
          <w:trHeight w:val="217"/>
        </w:trPr>
        <w:tc>
          <w:tcPr>
            <w:tcW w:w="13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(audited)</w:t>
            </w:r>
          </w:p>
        </w:tc>
      </w:tr>
      <w:tr>
        <w:trPr>
          <w:trHeight w:val="183"/>
        </w:trPr>
        <w:tc>
          <w:tcPr>
            <w:tcW w:w="83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13,455</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9,358</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3,202</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104,701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97,175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6,238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6,923</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current assets, net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8,786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9,769</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137,347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127,082</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79,188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82,285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117,337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123,101</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6,906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6,953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1,337</w:t>
            </w: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342,803</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340,758</w:t>
            </w:r>
          </w:p>
        </w:tc>
      </w:tr>
      <w:tr>
        <w:trPr>
          <w:trHeight w:val="169"/>
        </w:trPr>
        <w:tc>
          <w:tcPr>
            <w:tcW w:w="1360" w:type="dxa"/>
            <w:vAlign w:val="bottom"/>
            <w:shd w:val="clear" w:color="auto" w:fill="CCEEFF"/>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28,561</w:t>
            </w:r>
          </w:p>
        </w:tc>
        <w:tc>
          <w:tcPr>
            <w:tcW w:w="8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30,884</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390</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portion of lease liability</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28,678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28,190</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46,531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38,249</w:t>
            </w:r>
          </w:p>
        </w:tc>
      </w:tr>
      <w:tr>
        <w:trPr>
          <w:trHeight w:val="182"/>
        </w:trPr>
        <w:tc>
          <w:tcPr>
            <w:tcW w:w="836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104,386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97,713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5,000</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103,331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110,261</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5,560</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217,178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218,534</w:t>
            </w:r>
          </w:p>
        </w:tc>
      </w:tr>
      <w:tr>
        <w:trPr>
          <w:trHeight w:val="183"/>
        </w:trPr>
        <w:tc>
          <w:tcPr>
            <w:tcW w:w="1360" w:type="dxa"/>
            <w:vAlign w:val="bottom"/>
            <w:shd w:val="clear" w:color="auto" w:fill="CCEEFF"/>
          </w:tcPr>
          <w:p>
            <w:pPr>
              <w:spacing w:after="0"/>
              <w:rPr>
                <w:sz w:val="15"/>
                <w:szCs w:val="15"/>
                <w:color w:val="auto"/>
              </w:rPr>
            </w:pPr>
          </w:p>
        </w:tc>
        <w:tc>
          <w:tcPr>
            <w:tcW w:w="7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1"/>
        </w:trPr>
        <w:tc>
          <w:tcPr>
            <w:tcW w:w="83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6"/>
              </w:rPr>
              <w:t>Common stock, par value $0.0001; authorized: 100,000,000 shares; issued and outstanding: 52,112,567 and</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7"/>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51,963,377 shares, respectively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126,805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126,920</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6"/>
                <w:szCs w:val="16"/>
                <w:color w:val="auto"/>
              </w:rPr>
            </w:pPr>
          </w:p>
        </w:tc>
        <w:tc>
          <w:tcPr>
            <w:tcW w:w="12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(1,200)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(4,713)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125,625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122,224</w:t>
            </w: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342,803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340,758</w:t>
            </w:r>
          </w:p>
        </w:tc>
      </w:tr>
      <w:tr>
        <w:trPr>
          <w:trHeight w:val="20"/>
        </w:trPr>
        <w:tc>
          <w:tcPr>
            <w:tcW w:w="1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3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506"/>
        </w:trPr>
        <w:tc>
          <w:tcPr>
            <w:tcW w:w="1360" w:type="dxa"/>
            <w:vAlign w:val="bottom"/>
            <w:tcBorders>
              <w:top w:val="single" w:sz="8" w:color="0563C1"/>
            </w:tcBorders>
          </w:tcPr>
          <w:p>
            <w:pPr>
              <w:spacing w:after="0"/>
              <w:rPr>
                <w:sz w:val="24"/>
                <w:szCs w:val="24"/>
                <w:color w:val="auto"/>
              </w:rPr>
            </w:pPr>
          </w:p>
        </w:tc>
        <w:tc>
          <w:tcPr>
            <w:tcW w:w="2260" w:type="dxa"/>
            <w:vAlign w:val="bottom"/>
          </w:tcPr>
          <w:p>
            <w:pPr>
              <w:spacing w:after="0"/>
              <w:rPr>
                <w:sz w:val="24"/>
                <w:szCs w:val="24"/>
                <w:color w:val="auto"/>
              </w:rPr>
            </w:pPr>
          </w:p>
        </w:tc>
        <w:tc>
          <w:tcPr>
            <w:tcW w:w="43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340" w:type="dxa"/>
            <w:vAlign w:val="bottom"/>
            <w:gridSpan w:val="2"/>
          </w:tcPr>
          <w:p>
            <w:pPr>
              <w:jc w:val="center"/>
              <w:ind w:right="230"/>
              <w:spacing w:after="0" w:line="189" w:lineRule="exact"/>
              <w:rPr>
                <w:sz w:val="20"/>
                <w:szCs w:val="20"/>
                <w:color w:val="auto"/>
              </w:rPr>
            </w:pPr>
            <w:r>
              <w:rPr>
                <w:rFonts w:ascii="Arial" w:cs="Arial" w:eastAsia="Arial" w:hAnsi="Arial"/>
                <w:sz w:val="18"/>
                <w:szCs w:val="18"/>
                <w:color w:val="auto"/>
                <w:w w:val="89"/>
              </w:rPr>
              <w:t>Consolidated Statements of Operations</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340" w:type="dxa"/>
            <w:vAlign w:val="bottom"/>
            <w:gridSpan w:val="2"/>
          </w:tcPr>
          <w:p>
            <w:pPr>
              <w:jc w:val="center"/>
              <w:ind w:right="290"/>
              <w:spacing w:after="0" w:line="189" w:lineRule="exact"/>
              <w:rPr>
                <w:sz w:val="20"/>
                <w:szCs w:val="20"/>
                <w:color w:val="auto"/>
              </w:rPr>
            </w:pPr>
            <w:r>
              <w:rPr>
                <w:rFonts w:ascii="Arial" w:cs="Arial" w:eastAsia="Arial" w:hAnsi="Arial"/>
                <w:sz w:val="18"/>
                <w:szCs w:val="18"/>
                <w:color w:val="auto"/>
                <w:w w:val="88"/>
              </w:rPr>
              <w:t>(dollars in thousands, except per share data)</w:t>
            </w: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340" w:type="dxa"/>
            <w:vAlign w:val="bottom"/>
            <w:gridSpan w:val="2"/>
          </w:tcPr>
          <w:p>
            <w:pPr>
              <w:jc w:val="center"/>
              <w:ind w:right="250"/>
              <w:spacing w:after="0"/>
              <w:rPr>
                <w:sz w:val="20"/>
                <w:szCs w:val="20"/>
                <w:color w:val="auto"/>
              </w:rPr>
            </w:pPr>
            <w:r>
              <w:rPr>
                <w:rFonts w:ascii="Arial" w:cs="Arial" w:eastAsia="Arial" w:hAnsi="Arial"/>
                <w:sz w:val="18"/>
                <w:szCs w:val="18"/>
                <w:color w:val="auto"/>
                <w:w w:val="92"/>
              </w:rPr>
              <w:t>(unaudited)</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4"/>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06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March 31,</w:t>
            </w:r>
          </w:p>
        </w:tc>
        <w:tc>
          <w:tcPr>
            <w:tcW w:w="1060" w:type="dxa"/>
            <w:vAlign w:val="bottom"/>
            <w:tcBorders>
              <w:bottom w:val="single" w:sz="8" w:color="auto"/>
            </w:tcBorders>
          </w:tcPr>
          <w:p>
            <w:pPr>
              <w:spacing w:after="0"/>
              <w:rPr>
                <w:sz w:val="18"/>
                <w:szCs w:val="18"/>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39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0"/>
              <w:spacing w:after="0" w:line="182" w:lineRule="exact"/>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0"/>
              <w:spacing w:after="0" w:line="182" w:lineRule="exact"/>
              <w:rPr>
                <w:sz w:val="20"/>
                <w:szCs w:val="20"/>
                <w:color w:val="auto"/>
              </w:rPr>
            </w:pPr>
            <w:r>
              <w:rPr>
                <w:rFonts w:ascii="Arial" w:cs="Arial" w:eastAsia="Arial" w:hAnsi="Arial"/>
                <w:sz w:val="18"/>
                <w:szCs w:val="18"/>
                <w:color w:val="auto"/>
                <w:w w:val="84"/>
              </w:rPr>
              <w:t>2021</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9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102,471</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92,084</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39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35,626</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27,898</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66,845</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64,186</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9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62,109</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57,278</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3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4,736</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6,908</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3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(266)</w:t>
            </w:r>
          </w:p>
        </w:tc>
        <w:tc>
          <w:tcPr>
            <w:tcW w:w="7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(168)</w:t>
            </w:r>
          </w:p>
        </w:tc>
      </w:tr>
      <w:tr>
        <w:trPr>
          <w:trHeight w:val="183"/>
        </w:trPr>
        <w:tc>
          <w:tcPr>
            <w:tcW w:w="3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39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4,470</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6,740</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Provision for income taxes</w:t>
            </w:r>
          </w:p>
        </w:tc>
        <w:tc>
          <w:tcPr>
            <w:tcW w:w="3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(957)</w:t>
            </w:r>
          </w:p>
        </w:tc>
        <w:tc>
          <w:tcPr>
            <w:tcW w:w="7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(1,443)</w:t>
            </w:r>
          </w:p>
        </w:tc>
      </w:tr>
      <w:tr>
        <w:trPr>
          <w:trHeight w:val="183"/>
        </w:trPr>
        <w:tc>
          <w:tcPr>
            <w:tcW w:w="36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w:t>
            </w:r>
          </w:p>
        </w:tc>
        <w:tc>
          <w:tcPr>
            <w:tcW w:w="39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3,513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5,297</w:t>
            </w: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per common share:</w:t>
            </w:r>
          </w:p>
        </w:tc>
        <w:tc>
          <w:tcPr>
            <w:tcW w:w="3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4340" w:type="dxa"/>
            <w:vAlign w:val="bottom"/>
            <w:gridSpan w:val="2"/>
          </w:tcPr>
          <w:p>
            <w:pPr>
              <w:jc w:val="right"/>
              <w:ind w:right="210"/>
              <w:spacing w:after="0" w:line="189"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0.07</w:t>
            </w:r>
          </w:p>
        </w:tc>
        <w:tc>
          <w:tcPr>
            <w:tcW w:w="180" w:type="dxa"/>
            <w:vAlign w:val="bottom"/>
          </w:tcPr>
          <w:p>
            <w:pPr>
              <w:spacing w:after="0"/>
              <w:rPr>
                <w:sz w:val="16"/>
                <w:szCs w:val="16"/>
                <w:color w:val="auto"/>
              </w:rPr>
            </w:pPr>
          </w:p>
        </w:tc>
        <w:tc>
          <w:tcPr>
            <w:tcW w:w="700" w:type="dxa"/>
            <w:vAlign w:val="bottom"/>
          </w:tcPr>
          <w:p>
            <w:pPr>
              <w:jc w:val="right"/>
              <w:ind w:right="5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0.11</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4340" w:type="dxa"/>
            <w:vAlign w:val="bottom"/>
            <w:gridSpan w:val="2"/>
            <w:shd w:val="clear" w:color="auto" w:fill="CCEEFF"/>
          </w:tcPr>
          <w:p>
            <w:pPr>
              <w:jc w:val="right"/>
              <w:ind w:right="210"/>
              <w:spacing w:after="0" w:line="189"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3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3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50,713,809</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50,105,825</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3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51,162,891</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51,056,798</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80" w:type="dxa"/>
            <w:vAlign w:val="bottom"/>
            <w:gridSpan w:val="4"/>
          </w:tcPr>
          <w:p>
            <w:pPr>
              <w:jc w:val="right"/>
              <w:ind w:right="7"/>
              <w:spacing w:after="0"/>
              <w:rPr>
                <w:sz w:val="20"/>
                <w:szCs w:val="20"/>
                <w:color w:val="auto"/>
              </w:rPr>
            </w:pPr>
            <w:r>
              <w:rPr>
                <w:rFonts w:ascii="Arial" w:cs="Arial" w:eastAsia="Arial" w:hAnsi="Arial"/>
                <w:sz w:val="18"/>
                <w:szCs w:val="18"/>
                <w:color w:val="auto"/>
                <w:w w:val="93"/>
              </w:rPr>
              <w:t>Three Months Ended</w:t>
            </w:r>
          </w:p>
        </w:tc>
        <w:tc>
          <w:tcPr>
            <w:tcW w:w="1240" w:type="dxa"/>
            <w:vAlign w:val="bottom"/>
          </w:tcPr>
          <w:p>
            <w:pPr>
              <w:spacing w:after="0"/>
              <w:rPr>
                <w:sz w:val="17"/>
                <w:szCs w:val="17"/>
                <w:color w:val="auto"/>
              </w:rPr>
            </w:pPr>
          </w:p>
        </w:tc>
      </w:tr>
      <w:tr>
        <w:trPr>
          <w:trHeight w:val="217"/>
        </w:trPr>
        <w:tc>
          <w:tcPr>
            <w:tcW w:w="70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387"/>
              <w:spacing w:after="0"/>
              <w:rPr>
                <w:sz w:val="20"/>
                <w:szCs w:val="20"/>
                <w:color w:val="auto"/>
              </w:rPr>
            </w:pPr>
            <w:r>
              <w:rPr>
                <w:rFonts w:ascii="Arial" w:cs="Arial" w:eastAsia="Arial" w:hAnsi="Arial"/>
                <w:sz w:val="18"/>
                <w:szCs w:val="18"/>
                <w:color w:val="auto"/>
              </w:rPr>
              <w:t>March 31,</w:t>
            </w:r>
          </w:p>
        </w:tc>
        <w:tc>
          <w:tcPr>
            <w:tcW w:w="1240" w:type="dxa"/>
            <w:vAlign w:val="bottom"/>
            <w:tcBorders>
              <w:bottom w:val="single" w:sz="8" w:color="auto"/>
            </w:tcBorders>
          </w:tcPr>
          <w:p>
            <w:pPr>
              <w:spacing w:after="0"/>
              <w:rPr>
                <w:sz w:val="18"/>
                <w:szCs w:val="18"/>
                <w:color w:val="auto"/>
              </w:rPr>
            </w:pPr>
          </w:p>
        </w:tc>
      </w:tr>
      <w:tr>
        <w:trPr>
          <w:trHeight w:val="183"/>
        </w:trPr>
        <w:tc>
          <w:tcPr>
            <w:tcW w:w="70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2022</w:t>
            </w: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1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7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240" w:type="dxa"/>
            <w:vAlign w:val="bottom"/>
            <w:shd w:val="clear" w:color="auto" w:fill="CCEEFF"/>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3,513</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5,297</w:t>
            </w:r>
          </w:p>
        </w:tc>
      </w:tr>
      <w:tr>
        <w:trPr>
          <w:trHeight w:val="189"/>
        </w:trPr>
        <w:tc>
          <w:tcPr>
            <w:tcW w:w="70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1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w:t>
            </w:r>
          </w:p>
        </w:tc>
      </w:tr>
      <w:tr>
        <w:trPr>
          <w:trHeight w:val="183"/>
        </w:trPr>
        <w:tc>
          <w:tcPr>
            <w:tcW w:w="7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w:t>
            </w:r>
          </w:p>
        </w:tc>
        <w:tc>
          <w:tcPr>
            <w:tcW w:w="1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7080" w:type="dxa"/>
            <w:vAlign w:val="bottom"/>
          </w:tcPr>
          <w:p>
            <w:pPr>
              <w:spacing w:after="0" w:line="182" w:lineRule="exact"/>
              <w:rPr>
                <w:sz w:val="20"/>
                <w:szCs w:val="20"/>
                <w:color w:val="auto"/>
              </w:rPr>
            </w:pPr>
            <w:r>
              <w:rPr>
                <w:rFonts w:ascii="Arial" w:cs="Arial" w:eastAsia="Arial" w:hAnsi="Arial"/>
                <w:sz w:val="18"/>
                <w:szCs w:val="18"/>
                <w:b w:val="1"/>
                <w:bCs w:val="1"/>
                <w:color w:val="auto"/>
              </w:rPr>
              <w:t>Comprehensive income</w:t>
            </w:r>
          </w:p>
        </w:tc>
        <w:tc>
          <w:tcPr>
            <w:tcW w:w="1240" w:type="dxa"/>
            <w:vAlign w:val="bottom"/>
            <w:tcBorders>
              <w:bottom w:val="single" w:sz="8" w:color="auto"/>
            </w:tcBorders>
          </w:tcPr>
          <w:p>
            <w:pPr>
              <w:jc w:val="right"/>
              <w:ind w:right="10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3,516</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5,305</w:t>
            </w:r>
          </w:p>
        </w:tc>
      </w:tr>
      <w:tr>
        <w:trPr>
          <w:trHeight w:val="20"/>
        </w:trPr>
        <w:tc>
          <w:tcPr>
            <w:tcW w:w="7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ind w:left="4820"/>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deficit</w:t>
            </w:r>
          </w:p>
        </w:tc>
        <w:tc>
          <w:tcPr>
            <w:tcW w:w="1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income (loss)</w:t>
            </w:r>
          </w:p>
        </w:tc>
        <w:tc>
          <w:tcPr>
            <w:tcW w:w="220" w:type="dxa"/>
            <w:vAlign w:val="bottom"/>
          </w:tcPr>
          <w:p>
            <w:pPr>
              <w:spacing w:after="0"/>
              <w:rPr>
                <w:sz w:val="14"/>
                <w:szCs w:val="14"/>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51,701,080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158,556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(19,487)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139,062</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380" w:type="dxa"/>
            <w:vAlign w:val="bottom"/>
          </w:tcPr>
          <w:p>
            <w:pPr>
              <w:jc w:val="right"/>
              <w:spacing w:after="0" w:line="176" w:lineRule="exact"/>
              <w:rPr>
                <w:sz w:val="20"/>
                <w:szCs w:val="20"/>
                <w:color w:val="auto"/>
              </w:rPr>
            </w:pPr>
            <w:r>
              <w:rPr>
                <w:rFonts w:ascii="Arial" w:cs="Arial" w:eastAsia="Arial" w:hAnsi="Arial"/>
                <w:sz w:val="18"/>
                <w:szCs w:val="18"/>
                <w:color w:val="auto"/>
              </w:rPr>
              <w:t>322,024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(90,400)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592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61"/>
        </w:trPr>
        <w:tc>
          <w:tcPr>
            <w:tcW w:w="43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5,297</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March 31, 2021</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51,932,704</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158,545</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(14,190)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144,356</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51,963,377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126,920</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(4,713)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122,224</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419,967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(177,828)</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161"/>
        </w:trPr>
        <w:tc>
          <w:tcPr>
            <w:tcW w:w="4320" w:type="dxa"/>
            <w:vAlign w:val="bottom"/>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based compensation awards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(92,949)</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3,513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3,513</w:t>
            </w:r>
          </w:p>
        </w:tc>
        <w:tc>
          <w:tcPr>
            <w:tcW w:w="0" w:type="dxa"/>
            <w:vAlign w:val="bottom"/>
          </w:tcPr>
          <w:p>
            <w:pPr>
              <w:spacing w:after="0"/>
              <w:rPr>
                <w:sz w:val="1"/>
                <w:szCs w:val="1"/>
                <w:color w:val="auto"/>
              </w:rPr>
            </w:pPr>
          </w:p>
        </w:tc>
      </w:tr>
      <w:tr>
        <w:trPr>
          <w:trHeight w:val="190"/>
        </w:trPr>
        <w:tc>
          <w:tcPr>
            <w:tcW w:w="43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31, 2022</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52,112,567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126,805</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125,625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ind w:right="40"/>
        <w:spacing w:after="0" w:line="221" w:lineRule="auto"/>
        <w:rPr>
          <w:sz w:val="20"/>
          <w:szCs w:val="20"/>
          <w:color w:val="auto"/>
        </w:rPr>
      </w:pPr>
      <w:r>
        <w:rPr>
          <w:rFonts w:ascii="Arial" w:cs="Arial" w:eastAsia="Arial" w:hAnsi="Arial"/>
          <w:sz w:val="18"/>
          <w:szCs w:val="18"/>
          <w:color w:val="auto"/>
        </w:rPr>
        <w:t>Consolidated Statements of Cash Flows</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jc w:val="right"/>
              <w:ind w:right="610"/>
              <w:spacing w:after="0"/>
              <w:rPr>
                <w:sz w:val="20"/>
                <w:szCs w:val="20"/>
                <w:color w:val="auto"/>
              </w:rPr>
            </w:pPr>
            <w:r>
              <w:rPr>
                <w:rFonts w:ascii="Arial" w:cs="Arial" w:eastAsia="Arial" w:hAnsi="Arial"/>
                <w:sz w:val="18"/>
                <w:szCs w:val="18"/>
                <w:color w:val="auto"/>
              </w:rPr>
              <w:t>Three Months Ended</w:t>
            </w:r>
          </w:p>
        </w:tc>
      </w:tr>
      <w:tr>
        <w:trPr>
          <w:trHeight w:val="217"/>
        </w:trPr>
        <w:tc>
          <w:tcPr>
            <w:tcW w:w="7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8"/>
                <w:szCs w:val="18"/>
                <w:color w:val="auto"/>
              </w:rPr>
              <w:t>March 31,</w:t>
            </w:r>
          </w:p>
        </w:tc>
        <w:tc>
          <w:tcPr>
            <w:tcW w:w="980" w:type="dxa"/>
            <w:vAlign w:val="bottom"/>
            <w:tcBorders>
              <w:bottom w:val="single" w:sz="8" w:color="auto"/>
            </w:tcBorders>
          </w:tcPr>
          <w:p>
            <w:pPr>
              <w:spacing w:after="0"/>
              <w:rPr>
                <w:sz w:val="18"/>
                <w:szCs w:val="18"/>
                <w:color w:val="auto"/>
              </w:rPr>
            </w:pPr>
          </w:p>
        </w:tc>
      </w:tr>
      <w:tr>
        <w:trPr>
          <w:trHeight w:val="183"/>
        </w:trPr>
        <w:tc>
          <w:tcPr>
            <w:tcW w:w="77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77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3,513</w:t>
            </w:r>
          </w:p>
        </w:tc>
        <w:tc>
          <w:tcPr>
            <w:tcW w:w="80" w:type="dxa"/>
            <w:vAlign w:val="bottom"/>
          </w:tcPr>
          <w:p>
            <w:pPr>
              <w:spacing w:after="0"/>
              <w:rPr>
                <w:sz w:val="16"/>
                <w:szCs w:val="16"/>
                <w:color w:val="auto"/>
              </w:rPr>
            </w:pPr>
          </w:p>
        </w:tc>
        <w:tc>
          <w:tcPr>
            <w:tcW w:w="460" w:type="dxa"/>
            <w:vAlign w:val="bottom"/>
            <w:gridSpan w:val="2"/>
          </w:tcPr>
          <w:p>
            <w:pPr>
              <w:jc w:val="right"/>
              <w:ind w:right="227"/>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5,297</w:t>
            </w:r>
          </w:p>
        </w:tc>
      </w:tr>
      <w:tr>
        <w:trPr>
          <w:trHeight w:val="189"/>
        </w:trPr>
        <w:tc>
          <w:tcPr>
            <w:tcW w:w="7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6,439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7,194</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debt issuance costs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w:t>
            </w: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Non-cash lease expense</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6,437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6,155</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Stock based compensation</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w:t>
            </w: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(113)</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7700" w:type="dxa"/>
            <w:vAlign w:val="bottom"/>
          </w:tcPr>
          <w:p>
            <w:pPr>
              <w:ind w:left="220"/>
              <w:spacing w:after="0" w:line="189" w:lineRule="exact"/>
              <w:rPr>
                <w:sz w:val="20"/>
                <w:szCs w:val="20"/>
                <w:color w:val="auto"/>
              </w:rPr>
            </w:pPr>
            <w:r>
              <w:rPr>
                <w:rFonts w:ascii="Arial" w:cs="Arial" w:eastAsia="Arial" w:hAnsi="Arial"/>
                <w:sz w:val="18"/>
                <w:szCs w:val="18"/>
                <w:color w:val="auto"/>
              </w:rPr>
              <w:t>Receivables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(40)</w:t>
            </w:r>
          </w:p>
        </w:tc>
      </w:tr>
      <w:tr>
        <w:trPr>
          <w:trHeight w:val="189"/>
        </w:trPr>
        <w:tc>
          <w:tcPr>
            <w:tcW w:w="7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Inventories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(7,526)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3,324</w:t>
            </w:r>
          </w:p>
        </w:tc>
      </w:tr>
      <w:tr>
        <w:trPr>
          <w:trHeight w:val="189"/>
        </w:trPr>
        <w:tc>
          <w:tcPr>
            <w:tcW w:w="7700" w:type="dxa"/>
            <w:vAlign w:val="bottom"/>
          </w:tcPr>
          <w:p>
            <w:pPr>
              <w:ind w:left="220"/>
              <w:spacing w:after="0" w:line="189" w:lineRule="exact"/>
              <w:rPr>
                <w:sz w:val="20"/>
                <w:szCs w:val="20"/>
                <w:color w:val="auto"/>
              </w:rPr>
            </w:pPr>
            <w:r>
              <w:rPr>
                <w:rFonts w:ascii="Arial" w:cs="Arial" w:eastAsia="Arial" w:hAnsi="Arial"/>
                <w:sz w:val="18"/>
                <w:szCs w:val="18"/>
                <w:color w:val="auto"/>
              </w:rPr>
              <w:t>Other current assets, net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217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1,064</w:t>
            </w:r>
          </w:p>
        </w:tc>
      </w:tr>
      <w:tr>
        <w:trPr>
          <w:trHeight w:val="189"/>
        </w:trPr>
        <w:tc>
          <w:tcPr>
            <w:tcW w:w="7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(2,845)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1,580</w:t>
            </w:r>
          </w:p>
        </w:tc>
      </w:tr>
      <w:tr>
        <w:trPr>
          <w:trHeight w:val="189"/>
        </w:trPr>
        <w:tc>
          <w:tcPr>
            <w:tcW w:w="7700" w:type="dxa"/>
            <w:vAlign w:val="bottom"/>
          </w:tcPr>
          <w:p>
            <w:pPr>
              <w:ind w:left="220"/>
              <w:spacing w:after="0" w:line="189" w:lineRule="exact"/>
              <w:rPr>
                <w:sz w:val="20"/>
                <w:szCs w:val="20"/>
                <w:color w:val="auto"/>
              </w:rPr>
            </w:pPr>
            <w:r>
              <w:rPr>
                <w:rFonts w:ascii="Arial" w:cs="Arial" w:eastAsia="Arial" w:hAnsi="Arial"/>
                <w:sz w:val="18"/>
                <w:szCs w:val="18"/>
                <w:color w:val="auto"/>
              </w:rPr>
              <w:t>Income tax receivable / payable</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910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1,558</w:t>
            </w:r>
          </w:p>
        </w:tc>
      </w:tr>
      <w:tr>
        <w:trPr>
          <w:trHeight w:val="189"/>
        </w:trPr>
        <w:tc>
          <w:tcPr>
            <w:tcW w:w="7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6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3,427</w:t>
            </w:r>
          </w:p>
        </w:tc>
      </w:tr>
      <w:tr>
        <w:trPr>
          <w:trHeight w:val="183"/>
        </w:trPr>
        <w:tc>
          <w:tcPr>
            <w:tcW w:w="770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provided by operating activities</w:t>
            </w:r>
          </w:p>
        </w:tc>
        <w:tc>
          <w:tcPr>
            <w:tcW w:w="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7,634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30,114</w:t>
            </w:r>
          </w:p>
        </w:tc>
      </w:tr>
      <w:tr>
        <w:trPr>
          <w:trHeight w:val="183"/>
        </w:trPr>
        <w:tc>
          <w:tcPr>
            <w:tcW w:w="77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(2,933)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(3,202)</w:t>
            </w:r>
          </w:p>
        </w:tc>
      </w:tr>
      <w:tr>
        <w:trPr>
          <w:trHeight w:val="183"/>
        </w:trPr>
        <w:tc>
          <w:tcPr>
            <w:tcW w:w="7700" w:type="dxa"/>
            <w:vAlign w:val="bottom"/>
            <w:tcBorders>
              <w:top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6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(2,933)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(3,202)</w:t>
            </w:r>
          </w:p>
        </w:tc>
      </w:tr>
      <w:tr>
        <w:trPr>
          <w:trHeight w:val="183"/>
        </w:trPr>
        <w:tc>
          <w:tcPr>
            <w:tcW w:w="7700" w:type="dxa"/>
            <w:vAlign w:val="bottom"/>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w:t>
            </w:r>
          </w:p>
        </w:tc>
      </w:tr>
      <w:tr>
        <w:trPr>
          <w:trHeight w:val="182"/>
        </w:trPr>
        <w:tc>
          <w:tcPr>
            <w:tcW w:w="770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used in financing activities</w:t>
            </w:r>
          </w:p>
        </w:tc>
        <w:tc>
          <w:tcPr>
            <w:tcW w:w="6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(603)</w:t>
            </w:r>
          </w:p>
        </w:tc>
      </w:tr>
      <w:tr>
        <w:trPr>
          <w:trHeight w:val="183"/>
        </w:trPr>
        <w:tc>
          <w:tcPr>
            <w:tcW w:w="7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Effect of exchange rate changes on cash</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8"/>
                <w:szCs w:val="18"/>
                <w:color w:val="auto"/>
              </w:rPr>
              <w:t>Net change in cash, cash equivalents and restricted cash</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4,097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26,316</w:t>
            </w:r>
          </w:p>
        </w:tc>
      </w:tr>
      <w:tr>
        <w:trPr>
          <w:trHeight w:val="189"/>
        </w:trPr>
        <w:tc>
          <w:tcPr>
            <w:tcW w:w="7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6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10,013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10,272</w:t>
            </w:r>
          </w:p>
        </w:tc>
      </w:tr>
      <w:tr>
        <w:trPr>
          <w:trHeight w:val="223"/>
        </w:trPr>
        <w:tc>
          <w:tcPr>
            <w:tcW w:w="77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14,110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36,588</w:t>
            </w:r>
          </w:p>
        </w:tc>
      </w:tr>
      <w:tr>
        <w:trPr>
          <w:trHeight w:val="170"/>
        </w:trPr>
        <w:tc>
          <w:tcPr>
            <w:tcW w:w="7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13,455</w:t>
            </w:r>
          </w:p>
        </w:tc>
        <w:tc>
          <w:tcPr>
            <w:tcW w:w="80" w:type="dxa"/>
            <w:vAlign w:val="bottom"/>
          </w:tcPr>
          <w:p>
            <w:pPr>
              <w:spacing w:after="0"/>
              <w:rPr>
                <w:sz w:val="16"/>
                <w:szCs w:val="16"/>
                <w:color w:val="auto"/>
              </w:rPr>
            </w:pPr>
          </w:p>
        </w:tc>
        <w:tc>
          <w:tcPr>
            <w:tcW w:w="460" w:type="dxa"/>
            <w:vAlign w:val="bottom"/>
            <w:gridSpan w:val="2"/>
          </w:tcPr>
          <w:p>
            <w:pPr>
              <w:jc w:val="right"/>
              <w:ind w:right="227"/>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35,933</w:t>
            </w:r>
          </w:p>
        </w:tc>
      </w:tr>
      <w:tr>
        <w:trPr>
          <w:trHeight w:val="189"/>
        </w:trPr>
        <w:tc>
          <w:tcPr>
            <w:tcW w:w="7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Restricted cash</w:t>
            </w:r>
          </w:p>
        </w:tc>
        <w:tc>
          <w:tcPr>
            <w:tcW w:w="6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r>
      <w:tr>
        <w:trPr>
          <w:trHeight w:val="223"/>
        </w:trPr>
        <w:tc>
          <w:tcPr>
            <w:tcW w:w="77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14,110</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36,588</w:t>
            </w:r>
          </w:p>
        </w:tc>
      </w:tr>
      <w:tr>
        <w:trPr>
          <w:trHeight w:val="170"/>
        </w:trPr>
        <w:tc>
          <w:tcPr>
            <w:tcW w:w="7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7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6"/>
              </w:rPr>
              <w:t>Purchases of property, plant and equipment included in accounts payable and accrued expenses</w:t>
            </w:r>
          </w:p>
        </w:tc>
        <w:tc>
          <w:tcPr>
            <w:tcW w:w="94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27"/>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161</w:t>
            </w: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r>
    </w:tbl>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w:t>
      </w:r>
    </w:p>
    <w:p>
      <w:pPr>
        <w:spacing w:after="0" w:line="18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March 31, 2022, the Company had 143 stores in 31 states and the District of Columbia, with an average size of approximately 20,000 square feet. The Company has distribution centers located in Michigan, New Jersey, Oklahoma, Virginia and Wisconsin. The Company also has a sourcing office located in China.</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months ended March 31, 2022 are not necessarily indicative of the results that may be expected for the fiscal year ending December 31, 2022.</w:t>
      </w:r>
    </w:p>
    <w:p>
      <w:pPr>
        <w:spacing w:after="0" w:line="13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These statements should be read in conjunction with the Consolidated Financial Statements and footnotes included in the Company’s Annual Report on Form 10-K for the fiscal year ended December 31, 2021. The accounting policies used in preparing these Consolidated Financial Statements are the same as those described in Note 1 to the Consolidated Financial Statements in such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The Company is currently evaluating the impact this guidance will have on its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7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The following table presents revenues disaggregated by product category:</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04"/>
        </w:trPr>
        <w:tc>
          <w:tcPr>
            <w:tcW w:w="6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gridSpan w:val="3"/>
          </w:tcPr>
          <w:p>
            <w:pPr>
              <w:jc w:val="center"/>
              <w:spacing w:after="0"/>
              <w:rPr>
                <w:sz w:val="20"/>
                <w:szCs w:val="20"/>
                <w:color w:val="auto"/>
              </w:rPr>
            </w:pPr>
            <w:r>
              <w:rPr>
                <w:rFonts w:ascii="Arial" w:cs="Arial" w:eastAsia="Arial" w:hAnsi="Arial"/>
                <w:sz w:val="18"/>
                <w:szCs w:val="18"/>
                <w:color w:val="auto"/>
                <w:w w:val="89"/>
              </w:rPr>
              <w:t>For the three months ended</w:t>
            </w:r>
          </w:p>
        </w:tc>
        <w:tc>
          <w:tcPr>
            <w:tcW w:w="1380" w:type="dxa"/>
            <w:vAlign w:val="bottom"/>
          </w:tcPr>
          <w:p>
            <w:pPr>
              <w:spacing w:after="0"/>
              <w:rPr>
                <w:sz w:val="24"/>
                <w:szCs w:val="24"/>
                <w:color w:val="auto"/>
              </w:rPr>
            </w:pPr>
          </w:p>
        </w:tc>
      </w:tr>
      <w:tr>
        <w:trPr>
          <w:trHeight w:val="217"/>
        </w:trPr>
        <w:tc>
          <w:tcPr>
            <w:tcW w:w="64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March 31,</w:t>
            </w:r>
          </w:p>
        </w:tc>
        <w:tc>
          <w:tcPr>
            <w:tcW w:w="1380" w:type="dxa"/>
            <w:vAlign w:val="bottom"/>
            <w:tcBorders>
              <w:bottom w:val="single" w:sz="8" w:color="auto"/>
            </w:tcBorders>
          </w:tcPr>
          <w:p>
            <w:pPr>
              <w:spacing w:after="0"/>
              <w:rPr>
                <w:sz w:val="18"/>
                <w:szCs w:val="18"/>
                <w:color w:val="auto"/>
              </w:rPr>
            </w:pPr>
          </w:p>
        </w:tc>
      </w:tr>
      <w:tr>
        <w:trPr>
          <w:trHeight w:val="183"/>
        </w:trPr>
        <w:tc>
          <w:tcPr>
            <w:tcW w:w="642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2022</w:t>
            </w: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870"/>
              <w:spacing w:after="0" w:line="182" w:lineRule="exact"/>
              <w:rPr>
                <w:sz w:val="20"/>
                <w:szCs w:val="20"/>
                <w:color w:val="auto"/>
              </w:rPr>
            </w:pPr>
            <w:r>
              <w:rPr>
                <w:rFonts w:ascii="Arial" w:cs="Arial" w:eastAsia="Arial" w:hAnsi="Arial"/>
                <w:sz w:val="18"/>
                <w:szCs w:val="18"/>
                <w:color w:val="auto"/>
                <w:w w:val="99"/>
              </w:rPr>
              <w:t>2021</w:t>
            </w:r>
          </w:p>
        </w:tc>
      </w:tr>
      <w:tr>
        <w:trPr>
          <w:trHeight w:val="183"/>
        </w:trPr>
        <w:tc>
          <w:tcPr>
            <w:tcW w:w="6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3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rPr>
              <w:t>49 %</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rPr>
              <w:t>46 %</w:t>
            </w:r>
          </w:p>
        </w:tc>
      </w:tr>
      <w:tr>
        <w:trPr>
          <w:trHeight w:val="189"/>
        </w:trPr>
        <w:tc>
          <w:tcPr>
            <w:tcW w:w="7800" w:type="dxa"/>
            <w:vAlign w:val="bottom"/>
            <w:gridSpan w:val="2"/>
          </w:tcPr>
          <w:p>
            <w:pPr>
              <w:spacing w:after="0" w:line="189" w:lineRule="exact"/>
              <w:rPr>
                <w:sz w:val="20"/>
                <w:szCs w:val="20"/>
                <w:color w:val="auto"/>
              </w:rPr>
            </w:pPr>
            <w:r>
              <w:rPr>
                <w:rFonts w:ascii="Arial" w:cs="Arial" w:eastAsia="Arial" w:hAnsi="Arial"/>
                <w:sz w:val="18"/>
                <w:szCs w:val="18"/>
                <w:color w:val="auto"/>
              </w:rPr>
              <w:t>Natural stone tiles</w:t>
            </w:r>
          </w:p>
        </w:tc>
        <w:tc>
          <w:tcPr>
            <w:tcW w:w="90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29</w:t>
            </w:r>
          </w:p>
        </w:tc>
      </w:tr>
      <w:tr>
        <w:trPr>
          <w:trHeight w:val="189"/>
        </w:trPr>
        <w:tc>
          <w:tcPr>
            <w:tcW w:w="7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90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15</w:t>
            </w:r>
          </w:p>
        </w:tc>
      </w:tr>
      <w:tr>
        <w:trPr>
          <w:trHeight w:val="189"/>
        </w:trPr>
        <w:tc>
          <w:tcPr>
            <w:tcW w:w="7800" w:type="dxa"/>
            <w:vAlign w:val="bottom"/>
            <w:gridSpan w:val="2"/>
          </w:tcPr>
          <w:p>
            <w:pPr>
              <w:spacing w:after="0" w:line="189" w:lineRule="exact"/>
              <w:rPr>
                <w:sz w:val="20"/>
                <w:szCs w:val="20"/>
                <w:color w:val="auto"/>
              </w:rPr>
            </w:pPr>
            <w:r>
              <w:rPr>
                <w:rFonts w:ascii="Arial" w:cs="Arial" w:eastAsia="Arial" w:hAnsi="Arial"/>
                <w:sz w:val="18"/>
                <w:szCs w:val="18"/>
                <w:color w:val="auto"/>
              </w:rPr>
              <w:t>Accessories</w:t>
            </w:r>
          </w:p>
        </w:tc>
        <w:tc>
          <w:tcPr>
            <w:tcW w:w="90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8</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jc w:val="right"/>
              <w:ind w:right="410"/>
              <w:spacing w:after="0" w:line="189" w:lineRule="exact"/>
              <w:rPr>
                <w:sz w:val="20"/>
                <w:szCs w:val="20"/>
                <w:color w:val="auto"/>
              </w:rPr>
            </w:pPr>
            <w:r>
              <w:rPr>
                <w:rFonts w:ascii="Arial" w:cs="Arial" w:eastAsia="Arial" w:hAnsi="Arial"/>
                <w:sz w:val="18"/>
                <w:szCs w:val="18"/>
                <w:color w:val="auto"/>
              </w:rPr>
              <w:t>8</w:t>
            </w:r>
          </w:p>
        </w:tc>
      </w:tr>
      <w:tr>
        <w:trPr>
          <w:trHeight w:val="189"/>
        </w:trPr>
        <w:tc>
          <w:tcPr>
            <w:tcW w:w="7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90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10"/>
              <w:spacing w:after="0" w:line="189" w:lineRule="exact"/>
              <w:rPr>
                <w:sz w:val="20"/>
                <w:szCs w:val="20"/>
                <w:color w:val="auto"/>
              </w:rPr>
            </w:pPr>
            <w:r>
              <w:rPr>
                <w:rFonts w:ascii="Arial" w:cs="Arial" w:eastAsia="Arial" w:hAnsi="Arial"/>
                <w:sz w:val="18"/>
                <w:szCs w:val="18"/>
                <w:color w:val="auto"/>
              </w:rPr>
              <w:t>2</w:t>
            </w:r>
          </w:p>
        </w:tc>
      </w:tr>
      <w:tr>
        <w:trPr>
          <w:trHeight w:val="183"/>
        </w:trPr>
        <w:tc>
          <w:tcPr>
            <w:tcW w:w="64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100 %</w:t>
            </w:r>
          </w:p>
        </w:tc>
        <w:tc>
          <w:tcPr>
            <w:tcW w:w="260" w:type="dxa"/>
            <w:vAlign w:val="bottom"/>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19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6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spacing w:after="0" w:line="148"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p>
      <w:pPr>
        <w:ind w:left="660" w:right="60"/>
        <w:spacing w:after="0" w:line="231"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48" w:lineRule="exact"/>
        <w:rPr>
          <w:sz w:val="20"/>
          <w:szCs w:val="20"/>
          <w:color w:val="auto"/>
        </w:rPr>
      </w:pPr>
    </w:p>
    <w:p>
      <w:pPr>
        <w:ind w:left="660" w:right="160"/>
        <w:spacing w:after="0" w:line="307"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9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$19.2 million and $13.8 million as of March 31, 2022 and December 31, 2021, respectively. Revenues recognized during the three months ended March 31, 2022 that were included in the customer deposit balance as of the beginning of the period were $11.5 million.</w:t>
      </w:r>
    </w:p>
    <w:p>
      <w:pPr>
        <w:spacing w:after="0" w:line="149" w:lineRule="exact"/>
        <w:rPr>
          <w:sz w:val="20"/>
          <w:szCs w:val="20"/>
          <w:color w:val="auto"/>
        </w:rPr>
      </w:pPr>
    </w:p>
    <w:p>
      <w:pPr>
        <w:jc w:val="both"/>
        <w:ind w:right="100"/>
        <w:spacing w:after="0" w:line="231" w:lineRule="auto"/>
        <w:rPr>
          <w:sz w:val="20"/>
          <w:szCs w:val="20"/>
          <w:color w:val="auto"/>
        </w:rPr>
      </w:pPr>
      <w:r>
        <w:rPr>
          <w:rFonts w:ascii="Arial" w:cs="Arial" w:eastAsia="Arial" w:hAnsi="Arial"/>
          <w:sz w:val="18"/>
          <w:szCs w:val="18"/>
          <w:color w:val="auto"/>
        </w:rPr>
        <w:t>The Company extends financing to qualified professional customers who apply for credit. Customers who qualify for an account receive 30-day payment terms. The accounts receivable balance was $3.5 million and $3.2 million at March 31, 2022 and December 31, 2021, respectively. The Company expects that the customer will pay for the goods and services ordered within one year from the date the order is placed. Accordingly, the Company does not adjust the promised amount of consideration for the effects of the financing component.</w:t>
      </w:r>
    </w:p>
    <w:p>
      <w:pPr>
        <w:spacing w:after="0" w:line="148"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accrued liability and the estimated value of the inventory that will be returned as an other current asset in the Consolidated Balance Sheet. The components of the sales returns reserve reflected in the Consolidated Balance Sheets as of March 31, 2022 and December 31, 2021 were as follows:</w:t>
      </w:r>
    </w:p>
    <w:tbl>
      <w:tblPr>
        <w:tblLayout w:type="fixed"/>
        <w:tblInd w:w="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4"/>
          </w:tcPr>
          <w:p>
            <w:pPr>
              <w:jc w:val="right"/>
              <w:ind w:right="850"/>
              <w:spacing w:after="0" w:line="177" w:lineRule="exact"/>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6,490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5,202</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2,209</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1,658</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4,281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3,544</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75"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Inventories are stated at the lower of cost (determined using the moving average cost method) or net realizable value. Inventories consist primarily of merchandise held for sale. Inventories were comprised of the following as of March 31, 2022 and December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0"/>
              <w:spacing w:after="0" w:line="189" w:lineRule="exact"/>
              <w:rPr>
                <w:sz w:val="20"/>
                <w:szCs w:val="20"/>
                <w:color w:val="auto"/>
              </w:rPr>
            </w:pPr>
            <w:r>
              <w:rPr>
                <w:rFonts w:ascii="Arial" w:cs="Arial" w:eastAsia="Arial" w:hAnsi="Arial"/>
                <w:sz w:val="18"/>
                <w:szCs w:val="18"/>
                <w:color w:val="auto"/>
              </w:rPr>
              <w:t>March 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103,393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95,869</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1,308</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1,306</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104,701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97,175</w:t>
            </w: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$0.9 million and $0.5 million as of March 31, 2022 and December 31, 2021, respectively.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Company's effective tax rate on net income before taxes was 21.4% for both the three months ended March 31, 2022 and 2021. The Company’s effective tax rate included a $0.3 million tax benefit associated with restricted stock award vestings during both the three months ended March 31, 2022 and March 31, 2021.</w:t>
      </w:r>
    </w:p>
    <w:p>
      <w:pPr>
        <w:spacing w:after="0" w:line="148"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As of both March 31, 2022 and 2021, the Company had not recognized any liabilities for uncertain tax positions, nor had interest and penalties related to uncertain tax positions been accrued.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7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2160" w:type="dxa"/>
            <w:vAlign w:val="bottom"/>
          </w:tcPr>
          <w:p>
            <w:pPr>
              <w:spacing w:after="0"/>
              <w:rPr>
                <w:sz w:val="20"/>
                <w:szCs w:val="20"/>
                <w:color w:val="auto"/>
              </w:rPr>
            </w:pPr>
          </w:p>
        </w:tc>
        <w:tc>
          <w:tcPr>
            <w:tcW w:w="3840" w:type="dxa"/>
            <w:vAlign w:val="bottom"/>
            <w:gridSpan w:val="10"/>
            <w:vMerge w:val="restart"/>
          </w:tcPr>
          <w:p>
            <w:pPr>
              <w:jc w:val="right"/>
              <w:ind w:right="340"/>
              <w:spacing w:after="0"/>
              <w:rPr>
                <w:sz w:val="20"/>
                <w:szCs w:val="20"/>
                <w:color w:val="auto"/>
              </w:rPr>
            </w:pPr>
            <w:r>
              <w:rPr>
                <w:rFonts w:ascii="Arial" w:cs="Arial" w:eastAsia="Arial" w:hAnsi="Arial"/>
                <w:sz w:val="18"/>
                <w:szCs w:val="18"/>
                <w:color w:val="auto"/>
                <w:w w:val="97"/>
              </w:rPr>
              <w:t>(dollars in thousands, except per share data)</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4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40" w:type="dxa"/>
            <w:vAlign w:val="bottom"/>
            <w:gridSpan w:val="10"/>
          </w:tcPr>
          <w:p>
            <w:pPr>
              <w:jc w:val="center"/>
              <w:ind w:right="160"/>
              <w:spacing w:after="0" w:line="189" w:lineRule="exact"/>
              <w:rPr>
                <w:sz w:val="20"/>
                <w:szCs w:val="20"/>
                <w:color w:val="auto"/>
              </w:rPr>
            </w:pPr>
            <w:r>
              <w:rPr>
                <w:rFonts w:ascii="Arial" w:cs="Arial" w:eastAsia="Arial" w:hAnsi="Arial"/>
                <w:sz w:val="18"/>
                <w:szCs w:val="18"/>
                <w:color w:val="auto"/>
                <w:w w:val="88"/>
              </w:rPr>
              <w:t>For the three months ended</w:t>
            </w:r>
          </w:p>
        </w:tc>
        <w:tc>
          <w:tcPr>
            <w:tcW w:w="0" w:type="dxa"/>
            <w:vAlign w:val="bottom"/>
          </w:tcPr>
          <w:p>
            <w:pPr>
              <w:spacing w:after="0"/>
              <w:rPr>
                <w:sz w:val="1"/>
                <w:szCs w:val="1"/>
                <w:color w:val="auto"/>
              </w:rPr>
            </w:pPr>
          </w:p>
        </w:tc>
      </w:tr>
      <w:tr>
        <w:trPr>
          <w:trHeight w:val="217"/>
        </w:trPr>
        <w:tc>
          <w:tcPr>
            <w:tcW w:w="5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5"/>
          </w:tcPr>
          <w:p>
            <w:pPr>
              <w:jc w:val="center"/>
              <w:ind w:left="110"/>
              <w:spacing w:after="0"/>
              <w:rPr>
                <w:sz w:val="20"/>
                <w:szCs w:val="20"/>
                <w:color w:val="auto"/>
              </w:rPr>
            </w:pPr>
            <w:r>
              <w:rPr>
                <w:rFonts w:ascii="Arial" w:cs="Arial" w:eastAsia="Arial" w:hAnsi="Arial"/>
                <w:sz w:val="18"/>
                <w:szCs w:val="18"/>
                <w:color w:val="auto"/>
                <w:w w:val="92"/>
              </w:rPr>
              <w:t>March 31,</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186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89"/>
              </w:rPr>
              <w:t>2022</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21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3,513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5,297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88"/>
              </w:rPr>
              <w:t>50,713,809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50,105,825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216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449,082</w:t>
            </w: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950,973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21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51,162,891</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51,056,798</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per common share:</w:t>
            </w:r>
          </w:p>
        </w:tc>
        <w:tc>
          <w:tcPr>
            <w:tcW w:w="2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3100" w:type="dxa"/>
            <w:vAlign w:val="bottom"/>
            <w:gridSpan w:val="2"/>
          </w:tcPr>
          <w:p>
            <w:pPr>
              <w:jc w:val="right"/>
              <w:ind w:right="75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0.07</w:t>
            </w:r>
          </w:p>
        </w:tc>
        <w:tc>
          <w:tcPr>
            <w:tcW w:w="440" w:type="dxa"/>
            <w:vAlign w:val="bottom"/>
            <w:gridSpan w:val="3"/>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0.11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3100" w:type="dxa"/>
            <w:vAlign w:val="bottom"/>
            <w:gridSpan w:val="2"/>
            <w:shd w:val="clear" w:color="auto" w:fill="CCEEFF"/>
          </w:tcPr>
          <w:p>
            <w:pPr>
              <w:jc w:val="right"/>
              <w:ind w:right="75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0.07</w:t>
            </w:r>
          </w:p>
        </w:tc>
        <w:tc>
          <w:tcPr>
            <w:tcW w:w="440" w:type="dxa"/>
            <w:vAlign w:val="bottom"/>
            <w:gridSpan w:val="3"/>
            <w:shd w:val="clear" w:color="auto" w:fill="CCEEFF"/>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7"/>
              </w:rPr>
              <w:t>Anti-dilutive securities excluded from earnings per share calculation</w:t>
            </w:r>
          </w:p>
        </w:tc>
        <w:tc>
          <w:tcPr>
            <w:tcW w:w="2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970,727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1,192,885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24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4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80" w:type="dxa"/>
            <w:vAlign w:val="bottom"/>
            <w:gridSpan w:val="7"/>
          </w:tcPr>
          <w:p>
            <w:pPr>
              <w:jc w:val="right"/>
              <w:ind w:right="94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5"/>
          </w:tcPr>
          <w:p>
            <w:pPr>
              <w:ind w:left="200"/>
              <w:spacing w:after="0" w:line="189" w:lineRule="exact"/>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7"/>
        </w:trPr>
        <w:tc>
          <w:tcPr>
            <w:tcW w:w="5240" w:type="dxa"/>
            <w:vAlign w:val="bottom"/>
            <w:tcBorders>
              <w:bottom w:val="single" w:sz="8" w:color="CCEEFF"/>
            </w:tcBorders>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Customer deposits</w:t>
            </w:r>
          </w:p>
        </w:tc>
        <w:tc>
          <w:tcPr>
            <w:tcW w:w="31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4"/>
            <w:shd w:val="clear" w:color="auto" w:fill="CCEEFF"/>
          </w:tcPr>
          <w:p>
            <w:pPr>
              <w:jc w:val="right"/>
              <w:spacing w:after="0" w:line="182" w:lineRule="exact"/>
              <w:rPr>
                <w:sz w:val="20"/>
                <w:szCs w:val="20"/>
                <w:color w:val="auto"/>
              </w:rPr>
            </w:pPr>
            <w:r>
              <w:rPr>
                <w:rFonts w:ascii="Arial" w:cs="Arial" w:eastAsia="Arial" w:hAnsi="Arial"/>
                <w:sz w:val="18"/>
                <w:szCs w:val="18"/>
                <w:color w:val="auto"/>
              </w:rPr>
              <w:t>19,192</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13,792</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6,490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5,202</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2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8,099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5,484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2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7,266</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183"/>
        </w:trPr>
        <w:tc>
          <w:tcPr>
            <w:tcW w:w="5240" w:type="dxa"/>
            <w:vAlign w:val="bottom"/>
          </w:tcPr>
          <w:p>
            <w:pPr>
              <w:ind w:left="220"/>
              <w:spacing w:after="0" w:line="182" w:lineRule="exact"/>
              <w:rPr>
                <w:sz w:val="20"/>
                <w:szCs w:val="20"/>
                <w:color w:val="auto"/>
              </w:rPr>
            </w:pPr>
            <w:r>
              <w:rPr>
                <w:rFonts w:ascii="Arial" w:cs="Arial" w:eastAsia="Arial" w:hAnsi="Arial"/>
                <w:sz w:val="18"/>
                <w:szCs w:val="18"/>
                <w:color w:val="auto"/>
              </w:rPr>
              <w:t>Total other accrued liabilities</w:t>
            </w:r>
          </w:p>
        </w:tc>
        <w:tc>
          <w:tcPr>
            <w:tcW w:w="3100" w:type="dxa"/>
            <w:vAlign w:val="bottom"/>
            <w:gridSpan w:val="2"/>
          </w:tcPr>
          <w:p>
            <w:pPr>
              <w:spacing w:after="0"/>
              <w:rPr>
                <w:sz w:val="15"/>
                <w:szCs w:val="15"/>
                <w:color w:val="auto"/>
              </w:rPr>
            </w:pPr>
          </w:p>
        </w:tc>
        <w:tc>
          <w:tcPr>
            <w:tcW w:w="10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4"/>
          </w:tcPr>
          <w:p>
            <w:pPr>
              <w:jc w:val="right"/>
              <w:spacing w:after="0" w:line="182" w:lineRule="exact"/>
              <w:rPr>
                <w:sz w:val="20"/>
                <w:szCs w:val="20"/>
                <w:color w:val="auto"/>
              </w:rPr>
            </w:pPr>
            <w:r>
              <w:rPr>
                <w:rFonts w:ascii="Arial" w:cs="Arial" w:eastAsia="Arial" w:hAnsi="Arial"/>
                <w:sz w:val="18"/>
                <w:szCs w:val="18"/>
                <w:color w:val="auto"/>
              </w:rPr>
              <w:t>46,531</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ind w:right="60"/>
              <w:spacing w:after="0" w:line="182" w:lineRule="exact"/>
              <w:rPr>
                <w:sz w:val="20"/>
                <w:szCs w:val="20"/>
                <w:color w:val="auto"/>
              </w:rPr>
            </w:pPr>
            <w:r>
              <w:rPr>
                <w:rFonts w:ascii="Arial" w:cs="Arial" w:eastAsia="Arial" w:hAnsi="Arial"/>
                <w:sz w:val="18"/>
                <w:szCs w:val="18"/>
                <w:color w:val="auto"/>
              </w:rPr>
              <w:t>38,249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160" w:type="dxa"/>
            <w:vAlign w:val="bottom"/>
            <w:vMerge w:val="restart"/>
          </w:tcPr>
          <w:p>
            <w:pPr>
              <w:jc w:val="right"/>
              <w:ind w:right="1590"/>
              <w:spacing w:after="0"/>
              <w:rPr>
                <w:sz w:val="20"/>
                <w:szCs w:val="20"/>
                <w:color w:val="auto"/>
              </w:rPr>
            </w:pPr>
            <w:r>
              <w:rPr>
                <w:rFonts w:ascii="Arial" w:cs="Arial" w:eastAsia="Arial" w:hAnsi="Arial"/>
                <w:sz w:val="18"/>
                <w:szCs w:val="18"/>
                <w:color w:val="auto"/>
              </w:rPr>
              <w:t>10</w:t>
            </w: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2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September 18, 2018, Holdings and its operating subsidiary, The Tile Shop, LLC, entered into a Credit Agreement with Bank of America, N.A., Fifth Third Bank and Citizens Bank, which was amended November 16, 2021 (as amended,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the Company’s rent adjusted leverage ratio. At March 31, 2022, the base interest rate was 4.25% and the LIBOR-based interest rate was 2.20%. The Company had $5.0 million of borrowings outstanding on its revolving line of credit as of March 31, 2022. In addition, the Company has standby letters of credit outstanding related to its workers’ compensation and medical insurance policies. Standby letters of credit totaled $2.4 million as of both March 31, 2022 and December 31, 2021. There was $92.6 million available for borrowing on the revolving line of credit as of March 31, 2022, which may be used to support the Company’s growth and for working capital purposes.</w:t>
      </w:r>
    </w:p>
    <w:p>
      <w:pPr>
        <w:spacing w:after="0" w:line="13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March 31, 2022.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7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an initial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tbl>
      <w:tblPr>
        <w:tblLayout w:type="fixed"/>
        <w:tblInd w:w="0" w:type="dxa"/>
        <w:tblCellMar>
          <w:top w:w="0" w:type="dxa"/>
          <w:left w:w="0" w:type="dxa"/>
          <w:bottom w:w="0" w:type="dxa"/>
          <w:right w:w="0" w:type="dxa"/>
        </w:tblCellMar>
      </w:tblPr>
      <w:tr>
        <w:trPr>
          <w:trHeight w:val="205"/>
        </w:trPr>
        <w:tc>
          <w:tcPr>
            <w:tcW w:w="2220" w:type="dxa"/>
            <w:vAlign w:val="bottom"/>
          </w:tcPr>
          <w:p>
            <w:pPr>
              <w:spacing w:after="0" w:line="205" w:lineRule="exact"/>
              <w:rPr>
                <w:sz w:val="20"/>
                <w:szCs w:val="20"/>
                <w:color w:val="auto"/>
              </w:rPr>
            </w:pPr>
            <w:r>
              <w:rPr>
                <w:rFonts w:ascii="Arial" w:cs="Arial" w:eastAsia="Arial" w:hAnsi="Arial"/>
                <w:sz w:val="18"/>
                <w:szCs w:val="18"/>
                <w:color w:val="auto"/>
              </w:rPr>
              <w:t>Leases (in thousands)</w:t>
            </w:r>
          </w:p>
        </w:tc>
        <w:tc>
          <w:tcPr>
            <w:tcW w:w="4780" w:type="dxa"/>
            <w:vAlign w:val="bottom"/>
            <w:gridSpan w:val="2"/>
          </w:tcPr>
          <w:p>
            <w:pPr>
              <w:ind w:left="380"/>
              <w:spacing w:after="0" w:line="205" w:lineRule="exact"/>
              <w:rPr>
                <w:sz w:val="20"/>
                <w:szCs w:val="20"/>
                <w:color w:val="auto"/>
              </w:rPr>
            </w:pPr>
            <w:r>
              <w:rPr>
                <w:rFonts w:ascii="Arial" w:cs="Arial" w:eastAsia="Arial" w:hAnsi="Arial"/>
                <w:sz w:val="18"/>
                <w:szCs w:val="18"/>
                <w:color w:val="auto"/>
              </w:rPr>
              <w:t>Classification</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gridSpan w:val="3"/>
          </w:tcPr>
          <w:p>
            <w:pPr>
              <w:ind w:left="220"/>
              <w:spacing w:after="0" w:line="205" w:lineRule="exact"/>
              <w:rPr>
                <w:sz w:val="20"/>
                <w:szCs w:val="20"/>
                <w:color w:val="auto"/>
              </w:rPr>
            </w:pPr>
            <w:r>
              <w:rPr>
                <w:rFonts w:ascii="Arial" w:cs="Arial" w:eastAsia="Arial" w:hAnsi="Arial"/>
                <w:sz w:val="18"/>
                <w:szCs w:val="18"/>
                <w:color w:val="auto"/>
              </w:rPr>
              <w:t>March 31, 2022</w:t>
            </w:r>
          </w:p>
        </w:tc>
        <w:tc>
          <w:tcPr>
            <w:tcW w:w="240" w:type="dxa"/>
            <w:vAlign w:val="bottom"/>
          </w:tcPr>
          <w:p>
            <w:pPr>
              <w:spacing w:after="0"/>
              <w:rPr>
                <w:sz w:val="17"/>
                <w:szCs w:val="17"/>
                <w:color w:val="auto"/>
              </w:rPr>
            </w:pPr>
          </w:p>
        </w:tc>
        <w:tc>
          <w:tcPr>
            <w:tcW w:w="1820" w:type="dxa"/>
            <w:vAlign w:val="bottom"/>
          </w:tcPr>
          <w:p>
            <w:pPr>
              <w:jc w:val="right"/>
              <w:ind w:right="170"/>
              <w:spacing w:after="0" w:line="205" w:lineRule="exact"/>
              <w:rPr>
                <w:sz w:val="20"/>
                <w:szCs w:val="20"/>
                <w:color w:val="auto"/>
              </w:rPr>
            </w:pPr>
            <w:r>
              <w:rPr>
                <w:rFonts w:ascii="Arial" w:cs="Arial" w:eastAsia="Arial" w:hAnsi="Arial"/>
                <w:sz w:val="18"/>
                <w:szCs w:val="18"/>
                <w:color w:val="auto"/>
                <w:w w:val="97"/>
              </w:rPr>
              <w:t>December 31, 2021</w:t>
            </w:r>
          </w:p>
        </w:tc>
      </w:tr>
      <w:tr>
        <w:trPr>
          <w:trHeight w:val="183"/>
        </w:trPr>
        <w:tc>
          <w:tcPr>
            <w:tcW w:w="22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4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r>
      <w:tr>
        <w:trPr>
          <w:trHeight w:val="189"/>
        </w:trPr>
        <w:tc>
          <w:tcPr>
            <w:tcW w:w="22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Operating lease assets</w:t>
            </w:r>
          </w:p>
        </w:tc>
        <w:tc>
          <w:tcPr>
            <w:tcW w:w="4780" w:type="dxa"/>
            <w:vAlign w:val="bottom"/>
            <w:tcBorders>
              <w:bottom w:val="single" w:sz="8" w:color="CCEEFF"/>
            </w:tcBorders>
            <w:gridSpan w:val="2"/>
          </w:tcPr>
          <w:p>
            <w:pPr>
              <w:ind w:left="380"/>
              <w:spacing w:after="0" w:line="189" w:lineRule="exact"/>
              <w:rPr>
                <w:sz w:val="20"/>
                <w:szCs w:val="20"/>
                <w:color w:val="auto"/>
              </w:rPr>
            </w:pPr>
            <w:r>
              <w:rPr>
                <w:rFonts w:ascii="Arial" w:cs="Arial" w:eastAsia="Arial" w:hAnsi="Arial"/>
                <w:sz w:val="18"/>
                <w:szCs w:val="18"/>
                <w:color w:val="auto"/>
              </w:rPr>
              <w:t>Right of use asset</w:t>
            </w:r>
          </w:p>
        </w:tc>
        <w:tc>
          <w:tcPr>
            <w:tcW w:w="320" w:type="dxa"/>
            <w:vAlign w:val="bottom"/>
            <w:tcBorders>
              <w:bottom w:val="single" w:sz="8" w:color="auto"/>
            </w:tcBorders>
            <w:gridSpan w:val="2"/>
          </w:tcPr>
          <w:p>
            <w:pPr>
              <w:jc w:val="right"/>
              <w:ind w:right="147"/>
              <w:spacing w:after="0" w:line="189"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117,337</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123,101</w:t>
            </w:r>
          </w:p>
        </w:tc>
      </w:tr>
      <w:tr>
        <w:trPr>
          <w:trHeight w:val="182"/>
        </w:trPr>
        <w:tc>
          <w:tcPr>
            <w:tcW w:w="22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leased assets</w:t>
            </w:r>
          </w:p>
        </w:tc>
        <w:tc>
          <w:tcPr>
            <w:tcW w:w="47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gridSpan w:val="2"/>
            <w:shd w:val="clear" w:color="auto" w:fill="CCEEFF"/>
          </w:tcPr>
          <w:p>
            <w:pPr>
              <w:jc w:val="right"/>
              <w:ind w:right="147"/>
              <w:spacing w:after="0" w:line="182"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117,337</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123,101</w:t>
            </w:r>
          </w:p>
        </w:tc>
      </w:tr>
      <w:tr>
        <w:trPr>
          <w:trHeight w:val="20"/>
        </w:trPr>
        <w:tc>
          <w:tcPr>
            <w:tcW w:w="2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70"/>
        </w:trPr>
        <w:tc>
          <w:tcPr>
            <w:tcW w:w="22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9"/>
        </w:trPr>
        <w:tc>
          <w:tcPr>
            <w:tcW w:w="2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4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189"/>
        </w:trPr>
        <w:tc>
          <w:tcPr>
            <w:tcW w:w="2220" w:type="dxa"/>
            <w:vAlign w:val="bottom"/>
          </w:tcPr>
          <w:p>
            <w:pPr>
              <w:spacing w:after="0" w:line="189" w:lineRule="exact"/>
              <w:rPr>
                <w:sz w:val="20"/>
                <w:szCs w:val="20"/>
                <w:color w:val="auto"/>
              </w:rPr>
            </w:pPr>
            <w:r>
              <w:rPr>
                <w:rFonts w:ascii="Arial" w:cs="Arial" w:eastAsia="Arial" w:hAnsi="Arial"/>
                <w:sz w:val="18"/>
                <w:szCs w:val="18"/>
                <w:color w:val="auto"/>
              </w:rPr>
              <w:t>Current</w:t>
            </w:r>
          </w:p>
        </w:tc>
        <w:tc>
          <w:tcPr>
            <w:tcW w:w="4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9"/>
        </w:trPr>
        <w:tc>
          <w:tcPr>
            <w:tcW w:w="22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4780" w:type="dxa"/>
            <w:vAlign w:val="bottom"/>
            <w:gridSpan w:val="2"/>
            <w:shd w:val="clear" w:color="auto" w:fill="CCEEFF"/>
          </w:tcPr>
          <w:p>
            <w:pPr>
              <w:ind w:left="380"/>
              <w:spacing w:after="0" w:line="189" w:lineRule="exact"/>
              <w:rPr>
                <w:sz w:val="20"/>
                <w:szCs w:val="20"/>
                <w:color w:val="auto"/>
              </w:rPr>
            </w:pPr>
            <w:r>
              <w:rPr>
                <w:rFonts w:ascii="Arial" w:cs="Arial" w:eastAsia="Arial" w:hAnsi="Arial"/>
                <w:sz w:val="18"/>
                <w:szCs w:val="18"/>
                <w:color w:val="auto"/>
              </w:rPr>
              <w:t>Current portion of lease liability</w:t>
            </w:r>
          </w:p>
        </w:tc>
        <w:tc>
          <w:tcPr>
            <w:tcW w:w="32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28,678</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28,190</w:t>
            </w:r>
          </w:p>
        </w:tc>
      </w:tr>
      <w:tr>
        <w:trPr>
          <w:trHeight w:val="189"/>
        </w:trPr>
        <w:tc>
          <w:tcPr>
            <w:tcW w:w="2220" w:type="dxa"/>
            <w:vAlign w:val="bottom"/>
          </w:tcPr>
          <w:p>
            <w:pPr>
              <w:spacing w:after="0" w:line="189" w:lineRule="exact"/>
              <w:rPr>
                <w:sz w:val="20"/>
                <w:szCs w:val="20"/>
                <w:color w:val="auto"/>
              </w:rPr>
            </w:pPr>
            <w:r>
              <w:rPr>
                <w:rFonts w:ascii="Arial" w:cs="Arial" w:eastAsia="Arial" w:hAnsi="Arial"/>
                <w:sz w:val="18"/>
                <w:szCs w:val="18"/>
                <w:color w:val="auto"/>
              </w:rPr>
              <w:t>Noncurrent</w:t>
            </w:r>
          </w:p>
        </w:tc>
        <w:tc>
          <w:tcPr>
            <w:tcW w:w="4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189"/>
        </w:trPr>
        <w:tc>
          <w:tcPr>
            <w:tcW w:w="22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4780" w:type="dxa"/>
            <w:vAlign w:val="bottom"/>
            <w:gridSpan w:val="2"/>
            <w:shd w:val="clear" w:color="auto" w:fill="CCEEFF"/>
          </w:tcPr>
          <w:p>
            <w:pPr>
              <w:ind w:left="380"/>
              <w:spacing w:after="0" w:line="189" w:lineRule="exact"/>
              <w:rPr>
                <w:sz w:val="20"/>
                <w:szCs w:val="20"/>
                <w:color w:val="auto"/>
              </w:rPr>
            </w:pPr>
            <w:r>
              <w:rPr>
                <w:rFonts w:ascii="Arial" w:cs="Arial" w:eastAsia="Arial" w:hAnsi="Arial"/>
                <w:sz w:val="18"/>
                <w:szCs w:val="18"/>
                <w:color w:val="auto"/>
              </w:rPr>
              <w:t>Long-term lease liability, net</w:t>
            </w: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103,331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110,261</w:t>
            </w:r>
          </w:p>
        </w:tc>
      </w:tr>
      <w:tr>
        <w:trPr>
          <w:trHeight w:val="183"/>
        </w:trPr>
        <w:tc>
          <w:tcPr>
            <w:tcW w:w="222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4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gridSpan w:val="2"/>
          </w:tcPr>
          <w:p>
            <w:pPr>
              <w:jc w:val="right"/>
              <w:ind w:right="147"/>
              <w:spacing w:after="0" w:line="182" w:lineRule="exact"/>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132,009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138,451</w:t>
            </w:r>
          </w:p>
        </w:tc>
      </w:tr>
      <w:tr>
        <w:trPr>
          <w:trHeight w:val="20"/>
        </w:trPr>
        <w:tc>
          <w:tcPr>
            <w:tcW w:w="2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r>
      <w:tr>
        <w:trPr>
          <w:trHeight w:val="358"/>
        </w:trPr>
        <w:tc>
          <w:tcPr>
            <w:tcW w:w="2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20" w:type="dxa"/>
            <w:vAlign w:val="bottom"/>
            <w:gridSpan w:val="5"/>
          </w:tcPr>
          <w:p>
            <w:pPr>
              <w:jc w:val="right"/>
              <w:ind w:right="1290"/>
              <w:spacing w:after="0"/>
              <w:rPr>
                <w:sz w:val="20"/>
                <w:szCs w:val="20"/>
                <w:color w:val="auto"/>
              </w:rPr>
            </w:pPr>
            <w:r>
              <w:rPr>
                <w:rFonts w:ascii="Arial" w:cs="Arial" w:eastAsia="Arial" w:hAnsi="Arial"/>
                <w:sz w:val="18"/>
                <w:szCs w:val="18"/>
                <w:color w:val="auto"/>
              </w:rPr>
              <w:t>Three Months Ended</w:t>
            </w:r>
          </w:p>
        </w:tc>
      </w:tr>
      <w:tr>
        <w:trPr>
          <w:trHeight w:val="217"/>
        </w:trPr>
        <w:tc>
          <w:tcPr>
            <w:tcW w:w="2220" w:type="dxa"/>
            <w:vAlign w:val="bottom"/>
          </w:tcPr>
          <w:p>
            <w:pPr>
              <w:spacing w:after="0"/>
              <w:rPr>
                <w:sz w:val="20"/>
                <w:szCs w:val="20"/>
                <w:color w:val="auto"/>
              </w:rPr>
            </w:pPr>
            <w:r>
              <w:rPr>
                <w:rFonts w:ascii="Arial" w:cs="Arial" w:eastAsia="Arial" w:hAnsi="Arial"/>
                <w:sz w:val="18"/>
                <w:szCs w:val="18"/>
                <w:color w:val="auto"/>
              </w:rPr>
              <w:t>Lease cost (in thousands)</w:t>
            </w:r>
          </w:p>
        </w:tc>
        <w:tc>
          <w:tcPr>
            <w:tcW w:w="4780" w:type="dxa"/>
            <w:vAlign w:val="bottom"/>
            <w:gridSpan w:val="2"/>
          </w:tcPr>
          <w:p>
            <w:pPr>
              <w:ind w:left="380"/>
              <w:spacing w:after="0"/>
              <w:rPr>
                <w:sz w:val="20"/>
                <w:szCs w:val="20"/>
                <w:color w:val="auto"/>
              </w:rPr>
            </w:pPr>
            <w:r>
              <w:rPr>
                <w:rFonts w:ascii="Arial" w:cs="Arial" w:eastAsia="Arial" w:hAnsi="Arial"/>
                <w:sz w:val="18"/>
                <w:szCs w:val="18"/>
                <w:color w:val="auto"/>
              </w:rPr>
              <w:t>Classification</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3"/>
          </w:tcPr>
          <w:p>
            <w:pPr>
              <w:ind w:left="240"/>
              <w:spacing w:after="0"/>
              <w:rPr>
                <w:sz w:val="20"/>
                <w:szCs w:val="20"/>
                <w:color w:val="auto"/>
              </w:rPr>
            </w:pPr>
            <w:r>
              <w:rPr>
                <w:rFonts w:ascii="Arial" w:cs="Arial" w:eastAsia="Arial" w:hAnsi="Arial"/>
                <w:sz w:val="18"/>
                <w:szCs w:val="18"/>
                <w:color w:val="auto"/>
              </w:rPr>
              <w:t>March 31, 2022</w:t>
            </w:r>
          </w:p>
        </w:tc>
        <w:tc>
          <w:tcPr>
            <w:tcW w:w="240" w:type="dxa"/>
            <w:vAlign w:val="bottom"/>
          </w:tcPr>
          <w:p>
            <w:pPr>
              <w:spacing w:after="0"/>
              <w:rPr>
                <w:sz w:val="18"/>
                <w:szCs w:val="18"/>
                <w:color w:val="auto"/>
              </w:rPr>
            </w:pP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March 31, 2021</w:t>
            </w:r>
          </w:p>
        </w:tc>
      </w:tr>
      <w:tr>
        <w:trPr>
          <w:trHeight w:val="183"/>
        </w:trPr>
        <w:tc>
          <w:tcPr>
            <w:tcW w:w="22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4720" w:type="dxa"/>
            <w:vAlign w:val="bottom"/>
            <w:tcBorders>
              <w:top w:val="single" w:sz="8" w:color="auto"/>
            </w:tcBorders>
            <w:shd w:val="clear" w:color="auto" w:fill="CCEEFF"/>
          </w:tcPr>
          <w:p>
            <w:pPr>
              <w:ind w:left="380"/>
              <w:spacing w:after="0" w:line="182" w:lineRule="exact"/>
              <w:rPr>
                <w:sz w:val="20"/>
                <w:szCs w:val="20"/>
                <w:color w:val="auto"/>
              </w:rPr>
            </w:pPr>
            <w:r>
              <w:rPr>
                <w:rFonts w:ascii="Arial" w:cs="Arial" w:eastAsia="Arial" w:hAnsi="Arial"/>
                <w:sz w:val="18"/>
                <w:szCs w:val="18"/>
                <w:color w:val="auto"/>
              </w:rPr>
              <w:t>SG&amp;A expenses</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8,671</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8,478</w:t>
            </w:r>
          </w:p>
        </w:tc>
      </w:tr>
      <w:tr>
        <w:trPr>
          <w:trHeight w:val="256"/>
        </w:trPr>
        <w:tc>
          <w:tcPr>
            <w:tcW w:w="2220" w:type="dxa"/>
            <w:vAlign w:val="bottom"/>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4780" w:type="dxa"/>
            <w:vAlign w:val="bottom"/>
            <w:gridSpan w:val="2"/>
          </w:tcPr>
          <w:p>
            <w:pPr>
              <w:ind w:left="380"/>
              <w:spacing w:after="0"/>
              <w:rPr>
                <w:sz w:val="20"/>
                <w:szCs w:val="20"/>
                <w:color w:val="auto"/>
              </w:rPr>
            </w:pPr>
            <w:r>
              <w:rPr>
                <w:rFonts w:ascii="Arial" w:cs="Arial" w:eastAsia="Arial" w:hAnsi="Arial"/>
                <w:sz w:val="18"/>
                <w:szCs w:val="18"/>
                <w:color w:val="auto"/>
              </w:rPr>
              <w:t>SG&amp;A expenses</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3,403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3,708</w:t>
            </w:r>
          </w:p>
        </w:tc>
      </w:tr>
      <w:tr>
        <w:trPr>
          <w:trHeight w:val="189"/>
        </w:trPr>
        <w:tc>
          <w:tcPr>
            <w:tcW w:w="2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Short term lease cost</w:t>
            </w:r>
          </w:p>
        </w:tc>
        <w:tc>
          <w:tcPr>
            <w:tcW w:w="4780" w:type="dxa"/>
            <w:vAlign w:val="bottom"/>
            <w:gridSpan w:val="2"/>
            <w:shd w:val="clear" w:color="auto" w:fill="CCEEFF"/>
          </w:tcPr>
          <w:p>
            <w:pPr>
              <w:ind w:left="380"/>
              <w:spacing w:after="0" w:line="189" w:lineRule="exact"/>
              <w:rPr>
                <w:sz w:val="20"/>
                <w:szCs w:val="20"/>
                <w:color w:val="auto"/>
              </w:rPr>
            </w:pPr>
            <w:r>
              <w:rPr>
                <w:rFonts w:ascii="Arial" w:cs="Arial" w:eastAsia="Arial" w:hAnsi="Arial"/>
                <w:sz w:val="18"/>
                <w:szCs w:val="18"/>
                <w:color w:val="auto"/>
              </w:rPr>
              <w:t>SG&amp;A expenses</w:t>
            </w: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132</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124</w:t>
            </w:r>
          </w:p>
        </w:tc>
      </w:tr>
      <w:tr>
        <w:trPr>
          <w:trHeight w:val="183"/>
        </w:trPr>
        <w:tc>
          <w:tcPr>
            <w:tcW w:w="2220" w:type="dxa"/>
            <w:vAlign w:val="bottom"/>
          </w:tcPr>
          <w:p>
            <w:pPr>
              <w:spacing w:after="0" w:line="182" w:lineRule="exact"/>
              <w:rPr>
                <w:sz w:val="20"/>
                <w:szCs w:val="20"/>
                <w:color w:val="auto"/>
              </w:rPr>
            </w:pPr>
            <w:r>
              <w:rPr>
                <w:rFonts w:ascii="Arial" w:cs="Arial" w:eastAsia="Arial" w:hAnsi="Arial"/>
                <w:sz w:val="18"/>
                <w:szCs w:val="18"/>
                <w:color w:val="auto"/>
              </w:rPr>
              <w:t>Net lease cost</w:t>
            </w:r>
          </w:p>
        </w:tc>
        <w:tc>
          <w:tcPr>
            <w:tcW w:w="4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12,206</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12,310</w:t>
            </w:r>
          </w:p>
        </w:tc>
      </w:tr>
      <w:tr>
        <w:trPr>
          <w:trHeight w:val="20"/>
        </w:trPr>
        <w:tc>
          <w:tcPr>
            <w:tcW w:w="2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0" w:hanging="215"/>
        <w:spacing w:after="0"/>
        <w:tabs>
          <w:tab w:leader="none" w:pos="26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Variable lease costs consist primarily of taxes, insurance, and common area or other maintenance costs for the Company’s leased facilities.</w:t>
      </w:r>
    </w:p>
    <w:tbl>
      <w:tblPr>
        <w:tblLayout w:type="fixed"/>
        <w:tblInd w:w="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900" w:type="dxa"/>
            <w:vAlign w:val="bottom"/>
            <w:gridSpan w:val="4"/>
          </w:tcPr>
          <w:p>
            <w:pPr>
              <w:jc w:val="right"/>
              <w:ind w:right="1290"/>
              <w:spacing w:after="0" w:line="175" w:lineRule="exact"/>
              <w:rPr>
                <w:sz w:val="20"/>
                <w:szCs w:val="20"/>
                <w:color w:val="auto"/>
              </w:rPr>
            </w:pPr>
            <w:r>
              <w:rPr>
                <w:rFonts w:ascii="Arial" w:cs="Arial" w:eastAsia="Arial" w:hAnsi="Arial"/>
                <w:sz w:val="18"/>
                <w:szCs w:val="18"/>
                <w:color w:val="auto"/>
              </w:rPr>
              <w:t>Three Months Ended</w:t>
            </w:r>
          </w:p>
        </w:tc>
      </w:t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Other Information (in thousands)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color w:val="auto"/>
              </w:rPr>
              <w:t>March 31, 2022</w:t>
            </w:r>
          </w:p>
        </w:tc>
        <w:tc>
          <w:tcPr>
            <w:tcW w:w="300" w:type="dxa"/>
            <w:vAlign w:val="bottom"/>
          </w:tcPr>
          <w:p>
            <w:pPr>
              <w:spacing w:after="0"/>
              <w:rPr>
                <w:sz w:val="18"/>
                <w:szCs w:val="18"/>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color w:val="auto"/>
              </w:rPr>
              <w:t>March 31, 2021</w:t>
            </w:r>
          </w:p>
        </w:tc>
      </w:tr>
      <w:tr>
        <w:trPr>
          <w:trHeight w:val="183"/>
        </w:trPr>
        <w:tc>
          <w:tcPr>
            <w:tcW w:w="69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spacing w:after="0"/>
              <w:rPr>
                <w:sz w:val="15"/>
                <w:szCs w:val="15"/>
                <w:color w:val="auto"/>
              </w:rPr>
            </w:pPr>
          </w:p>
        </w:tc>
      </w:tr>
      <w:tr>
        <w:trPr>
          <w:trHeight w:val="189"/>
        </w:trPr>
        <w:tc>
          <w:tcPr>
            <w:tcW w:w="6960" w:type="dxa"/>
            <w:vAlign w:val="bottom"/>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38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9,350</w:t>
            </w:r>
          </w:p>
        </w:tc>
        <w:tc>
          <w:tcPr>
            <w:tcW w:w="40" w:type="dxa"/>
            <w:vAlign w:val="bottom"/>
          </w:tcPr>
          <w:p>
            <w:pPr>
              <w:spacing w:after="0"/>
              <w:rPr>
                <w:sz w:val="16"/>
                <w:szCs w:val="16"/>
                <w:color w:val="auto"/>
              </w:rPr>
            </w:pPr>
          </w:p>
        </w:tc>
        <w:tc>
          <w:tcPr>
            <w:tcW w:w="300" w:type="dxa"/>
            <w:vAlign w:val="bottom"/>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line="189" w:lineRule="exact"/>
              <w:rPr>
                <w:sz w:val="20"/>
                <w:szCs w:val="20"/>
                <w:color w:val="auto"/>
              </w:rPr>
            </w:pPr>
            <w:r>
              <w:rPr>
                <w:rFonts w:ascii="Arial" w:cs="Arial" w:eastAsia="Arial" w:hAnsi="Arial"/>
                <w:sz w:val="18"/>
                <w:szCs w:val="18"/>
                <w:color w:val="auto"/>
              </w:rPr>
              <w:t>8,482</w:t>
            </w:r>
          </w:p>
        </w:tc>
      </w:tr>
      <w:tr>
        <w:trPr>
          <w:trHeight w:val="189"/>
        </w:trPr>
        <w:tc>
          <w:tcPr>
            <w:tcW w:w="69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Lease right-of-use assets obtained or modified in exchange for lease obligations</w:t>
            </w:r>
          </w:p>
        </w:tc>
        <w:tc>
          <w:tcPr>
            <w:tcW w:w="3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673</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580"/>
        </w:trPr>
        <w:tc>
          <w:tcPr>
            <w:tcW w:w="6960" w:type="dxa"/>
            <w:vAlign w:val="bottom"/>
          </w:tcPr>
          <w:p>
            <w:pPr>
              <w:ind w:left="554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8"/>
        </w:trPr>
        <w:tc>
          <w:tcPr>
            <w:tcW w:w="6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17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identical or similar assets or liabilities in non-active markets;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71"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March 31, 2022 and December 31, 2021 according to the valuation techniques the Company uses to determine their fair values. There have been no transfers of assets among the fair value hierarchies presented.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3"/>
          </w:tcPr>
          <w:p>
            <w:pPr>
              <w:jc w:val="right"/>
              <w:ind w:right="115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March 31, 2022</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2021</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gridSpan w:val="3"/>
          </w:tcPr>
          <w:p>
            <w:pPr>
              <w:jc w:val="right"/>
              <w:ind w:right="111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Level 1</w:t>
            </w:r>
          </w:p>
        </w:tc>
        <w:tc>
          <w:tcPr>
            <w:tcW w:w="3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13,455</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3"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carrying amount approximates fair value.</w:t>
      </w:r>
    </w:p>
    <w:p>
      <w:pPr>
        <w:spacing w:after="0" w:line="143" w:lineRule="exact"/>
        <w:rPr>
          <w:sz w:val="20"/>
          <w:szCs w:val="20"/>
          <w:color w:val="auto"/>
        </w:rPr>
      </w:pPr>
    </w:p>
    <w:p>
      <w:pPr>
        <w:ind w:left="980" w:right="100"/>
        <w:spacing w:after="0" w:line="235"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current operations. The value was measured using quoted market prices in active markets. The carrying amount approximates fair value.</w:t>
      </w:r>
    </w:p>
    <w:p>
      <w:pPr>
        <w:spacing w:after="0" w:line="148"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The Company did not record any impairment losses during the three months ended March 31, 2022 and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measures and recognizes compensation expense for all stock based awards at fair value. The financial statements for the three months ended March 31, 2022 and 2021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less than $0.1 million for both the three months ended March 31, 2022 and 2021, respectively. Stock based compensation expense pertaining to stock options is included in selling, general and administrative expenses in the accompanying Consolidated Statements of Operations.</w:t>
      </w:r>
    </w:p>
    <w:p>
      <w:pPr>
        <w:spacing w:after="0" w:line="14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March 31, 2022, the Company had outstanding stock options to purchase 886,445 shares of common stock at a weighted average exercise price of $11.01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$0.5 million for both the three months ended March 31, 2022 and 2021. Stock based compensation expense pertaining to restricted stock awards is included in selling, general and administrative expenses in the accompanying Consolidated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the Company had 1,253,344 outstanding restricted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71"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54"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48"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3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48"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 contributed $3.2 million, net of syndication fees, to the Investment Fund. The Company incurred $1.3 million of syndication fees in connection with this transaction. The Company is recognizing the benefit of this net $1.9 million contribution over the seven-year compliance period as it is being earned through the on-going compliance with the conditions of the NMTC program. As of March 31, 2022, the balance of the contribution liability for this arrangement was $0.8 million, of which $0.5 million was classified as other accrued liabilities on the Consolidated Balance Sheet and $0.3 million was classified as other long-term liabilities on the Consolidated Balance Sheet.</w:t>
      </w:r>
    </w:p>
    <w:p>
      <w:pPr>
        <w:spacing w:after="0" w:line="143" w:lineRule="exact"/>
        <w:rPr>
          <w:sz w:val="20"/>
          <w:szCs w:val="20"/>
          <w:color w:val="auto"/>
        </w:rPr>
      </w:pPr>
    </w:p>
    <w:p>
      <w:pPr>
        <w:ind w:right="280"/>
        <w:spacing w:after="0" w:line="231"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March 31, 2022, the remaining balance in the Investment Fund available for reimbursement to the Company was $0.7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July 9, 2018, Fumitake Nishi, a former Company employee and the brother-in-law of Robert A. Rucker, the Company’s former Interim Chief Executive Officer and President, former member of the Company’s Board of Directors, and former holder of more than 5% of the Company’s common stock as of March 31, 2022, informed the Company he had reacquired a majority of the equity of one of its key vendors, Nanyang Helin Stone Co. Ltd (“Nanyang”). Mr. Nishi also has an ownership interest in Tilestyling Co. Ltd (“Tile Style”), a vendor from which the Company started acquiring product in 2020. Nanyang and Tile Style supply the Company with natural stone products, including hand-crafted mosaics, listellos and other accessories. During the three months ended March 31, 2022 and 2021, the Company purchased $3.3 million and $1.9 million of products from Nanyang, respectively. As of March 31, 2022 and 2021, the accounts payable due to Nanyang was $0.1 million and $0.2 million, respectively. During the three months ended March 31, 2022 and 2021, the Company purchased $1.2 million and $0.5 million of products from Tile Style, respectively. As of March 31, 2022, there were no amounts payable due to Tile Style. As of March 31, 2021, the accounts payable due to Tile Style was $0.1 million.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5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Management and the Audit Committee have evaluated these relationships and determined that it would be in the Company’s best interests to continue purchasing products from Nanyang and to begin purchasing products from Tile Style. The Company believes Nanyang and Tile Style each provide an important combination of quality, product availability and pricing, and relying solely on other vendors to supply similar product to the Company would not be in the Company’s best interests. The Company and the Audit Committee will continue to review future purchases from Nanyang and Tile Style and compare the pricing for products purchased from each of Nanyang and Tile Style to the pricing of same or similar products purchased from unrelated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2021 and our consolidated financial statements and related notes appearing elsewhere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include, but are not limited to, our anticipated new store openings, remodeling plans, and growth opportunities; our business strengths, marketing strategies, competitive advantages and role in our industry and markets; our expectations regarding the potential impacts on our business of the COVID-19 pandemic, including its effect on general economic conditions and credit markets, the supply chain and product availability, labor, and on customer traffic to our stores, as well as the potential duration of the COVID-19 pandemic and adequacy of measures we have taken to attempt to mitigate the impact of the COVID-19 pandemic on our business; our ability to successfully implement our strategic plan and the anticipated benefits of our strategic plan; our ability to successfully anticipate consumer trends; any statements with respect to dividends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risks related to relying on foreign suppliers, and the potential impact of the COVID-19 pandemic and the Russia-Ukraine conflict on, among other things, product availability and pricing and timing and cost of deliveries; our expectations with respect to ongoing compliance with the terms of the Credit Agreement (as defined below), including the potential impact of the phase out of LIBOR;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initiatives; our ability to effectively manage our online sales; costs and adequacy of insurance; the potential impact of natural disasters, which may worsen or increase due to the effects of climate change, and other catastrophic events; risks inherent in operating as a holding company; fluctuations in material and energy costs; the potential outcome of any legal proceedings; risks related to ownership of our common stock; and those factors set forth in the section captioned “Risk Factors” in our Annual Report on Form 10-K for the year ended December 31, 2021.</w:t>
      </w:r>
    </w:p>
    <w:p>
      <w:pPr>
        <w:spacing w:after="0" w:line="159"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51"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i w:val="1"/>
          <w:iCs w:val="1"/>
          <w:color w:val="auto"/>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spacing w:after="0" w:line="200" w:lineRule="exact"/>
        <w:rPr>
          <w:sz w:val="20"/>
          <w:szCs w:val="20"/>
          <w:color w:val="auto"/>
        </w:rPr>
      </w:pP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175" w:lineRule="exact"/>
        <w:rPr>
          <w:sz w:val="20"/>
          <w:szCs w:val="20"/>
          <w:color w:val="auto"/>
        </w:rPr>
      </w:pPr>
    </w:p>
    <w:p>
      <w:pPr>
        <w:jc w:val="both"/>
        <w:ind w:right="18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March 31, 2022, we operated 143 stores in 31 states and the District of Columbia, with an average size of approximately 20,000 square feet.</w:t>
      </w:r>
    </w:p>
    <w:p>
      <w:pPr>
        <w:spacing w:after="0" w:line="138"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51"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Our business continues to be impacted by a number of macro-economic factors, including the trailing impact of the COVID-19 pandemic. Global supply chains and product availability remain highly challenged and recent global events in Eastern Europe have only exacerbated an already difficult operating environment. These factors, combined with higher fuel costs and a highly competitive labor market, have created an inflationary environment and cost pressures.</w:t>
      </w:r>
    </w:p>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regard to consumer demand, since the onset of the COVID-19 pandemic, our business has experienced an increase in demand and sales. It remains unclear, however, if these demand trends will remain intact or if they will revert back to more historical levels over time, particularly as inflation begins to impact discretionary spending.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2022 Quarter Financial Overview</w:t>
      </w:r>
    </w:p>
    <w:p>
      <w:pPr>
        <w:spacing w:after="0" w:line="17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For the three months ended March 31, 2022 and 2021, we reported net sales of $102.5 million and $92.1 million, respectively. Sales increased at comparable stores by 10.7% during the first quarter of 2022 compared to the first quarter of 2021, primarily due to an increase in average ticket driven by higher prices.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about our comparable store sales growth (decline) for the three months ended March 31, 2022 and 2021.</w:t>
      </w:r>
    </w:p>
    <w:p>
      <w:pPr>
        <w:spacing w:after="0" w:line="5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For the three months ended</w:t>
      </w:r>
    </w:p>
    <w:p>
      <w:pPr>
        <w:ind w:left="9480"/>
        <w:spacing w:after="0" w:line="232" w:lineRule="auto"/>
        <w:rPr>
          <w:sz w:val="20"/>
          <w:szCs w:val="20"/>
          <w:color w:val="auto"/>
        </w:rPr>
      </w:pPr>
      <w:r>
        <w:rPr>
          <w:rFonts w:ascii="Arial" w:cs="Arial" w:eastAsia="Arial" w:hAnsi="Arial"/>
          <w:sz w:val="18"/>
          <w:szCs w:val="18"/>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4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2022</w:t>
            </w:r>
          </w:p>
        </w:tc>
        <w:tc>
          <w:tcPr>
            <w:tcW w:w="18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8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Comparable store sales growth (decline)</w:t>
            </w:r>
          </w:p>
        </w:tc>
        <w:tc>
          <w:tcPr>
            <w:tcW w:w="124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10.7 %</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(2.3)%</w:t>
            </w:r>
          </w:p>
        </w:tc>
      </w:tr>
    </w:tbl>
    <w:p>
      <w:pPr>
        <w:spacing w:after="0" w:line="16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continued to experience challenges in our supply chain during the first quarter of 2022. Specifically, we are seeing an increase in the cost of the products we source from around the world due to vendor price increases in response to inflationary cost pressure and an increase in shipping rates. These factors are currently most pronounced in Europe due to an increase in oil and natural gas prices following the onset of the conflict between Russia and Ukraine. This cost pressure is impacting our gross margin rate, which fell to 65.2% during the first quarter ended March 31, 2022. In response to the cost pressure, we have and plan to continue to adjust our prices. We continue to monitor the impact of inflation on the costs of materials, labor, and other costs required to manage our business in order to minimize its effects through pricing strategies, productivity improvements and cost reductions. There can be no assurance, however, that our operating results will not be affected by inflation in the future.</w:t>
      </w:r>
    </w:p>
    <w:p>
      <w:pPr>
        <w:spacing w:after="0" w:line="149"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Selling, general and administrative expenses increased by $4.8 million from $57.3 million to $62.1 million during the three months ended March 31, 2021 and 2022, respectively. We have taken steps over the last year to add headcount to expand our store hours and enhance the support structure in place for our stores, which resulted in a $3.9 million increase in payroll and benefits expenses. Additionally, marketing expenses increased by $0.7 million and distribution costs increased by $0.5 million which were partially offset by a $0.8 million decrease in depreciation expense.</w:t>
      </w:r>
    </w:p>
    <w:p>
      <w:pPr>
        <w:spacing w:after="0" w:line="144" w:lineRule="exact"/>
        <w:rPr>
          <w:sz w:val="20"/>
          <w:szCs w:val="20"/>
          <w:color w:val="auto"/>
        </w:rPr>
      </w:pPr>
    </w:p>
    <w:p>
      <w:pPr>
        <w:ind w:right="300"/>
        <w:spacing w:after="0" w:line="307" w:lineRule="auto"/>
        <w:rPr>
          <w:sz w:val="20"/>
          <w:szCs w:val="20"/>
          <w:color w:val="auto"/>
        </w:rPr>
      </w:pPr>
      <w:r>
        <w:rPr>
          <w:rFonts w:ascii="Arial" w:cs="Arial" w:eastAsia="Arial" w:hAnsi="Arial"/>
          <w:sz w:val="16"/>
          <w:szCs w:val="16"/>
          <w:color w:val="auto"/>
        </w:rPr>
        <w:t>Net cash provided by operating activities was $7.6 million and $30.1 million for the three months ended March 31, 2022 and 2021, respectively. The decrease in cash provided by operating activities was primarily due to a decrease in earnings combined with an increase in inventory purchases in 2022.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represents total charges to customers, net of returns, and includes freight charged to customers. We recognize sales at the time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takes control of the merchandise or final delivery of the product has occurred. We are required to charge and collect sales and other taxes on sales to our customers and remit these taxes back to government authorities. Total revenues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do not include sales tax because we are a pass-through conduit for collecting and remitting sales tax. Sales are reduced by a reserve for anticipated sales returns that we estimate based on historical returns.</w:t>
      </w:r>
    </w:p>
    <w:p>
      <w:pPr>
        <w:spacing w:after="0" w:line="143"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duties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43" w:lineRule="exact"/>
        <w:rPr>
          <w:sz w:val="20"/>
          <w:szCs w:val="20"/>
          <w:color w:val="auto"/>
        </w:rPr>
      </w:pPr>
    </w:p>
    <w:p>
      <w:pPr>
        <w:ind w:right="1780"/>
        <w:spacing w:after="0" w:line="24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w:t>
      </w:r>
    </w:p>
    <w:p>
      <w:pPr>
        <w:spacing w:after="0" w:line="143" w:lineRule="exact"/>
        <w:rPr>
          <w:sz w:val="20"/>
          <w:szCs w:val="20"/>
          <w:color w:val="auto"/>
        </w:rPr>
      </w:pPr>
    </w:p>
    <w:p>
      <w:pPr>
        <w:jc w:val="both"/>
        <w:ind w:right="480"/>
        <w:spacing w:after="0" w:line="23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maintenance costs, advertising costs, shipping and transportation expenses to move inventory from our distribution centers to our stores, and depreciation and amortization.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March 31, 2022 to the three months ended March 31,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4"/>
        </w:trPr>
        <w:tc>
          <w:tcPr>
            <w:tcW w:w="4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2"/>
                <w:szCs w:val="22"/>
                <w:color w:val="auto"/>
              </w:rPr>
            </w:pPr>
          </w:p>
        </w:tc>
        <w:tc>
          <w:tcPr>
            <w:tcW w:w="1440" w:type="dxa"/>
            <w:vAlign w:val="bottom"/>
            <w:gridSpan w:val="3"/>
          </w:tcPr>
          <w:p>
            <w:pPr>
              <w:ind w:left="18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480" w:type="dxa"/>
            <w:vAlign w:val="bottom"/>
          </w:tcPr>
          <w:p>
            <w:pPr>
              <w:spacing w:after="0"/>
              <w:rPr>
                <w:sz w:val="22"/>
                <w:szCs w:val="22"/>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22"/>
                <w:szCs w:val="22"/>
                <w:color w:val="auto"/>
              </w:rPr>
            </w:pPr>
          </w:p>
        </w:tc>
        <w:tc>
          <w:tcPr>
            <w:tcW w:w="1320" w:type="dxa"/>
            <w:vAlign w:val="bottom"/>
            <w:gridSpan w:val="2"/>
          </w:tcPr>
          <w:p>
            <w:pPr>
              <w:jc w:val="right"/>
              <w:ind w:right="11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r>
      <w:tr>
        <w:trPr>
          <w:trHeight w:val="183"/>
        </w:trPr>
        <w:tc>
          <w:tcPr>
            <w:tcW w:w="4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102,471</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92,084</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35,626</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34.8</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27,898</w:t>
            </w: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30.3</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66,845</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65.2</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64,186</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69.7</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62,109</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60.6</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57,278</w:t>
            </w:r>
          </w:p>
        </w:tc>
        <w:tc>
          <w:tcPr>
            <w:tcW w:w="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62.2</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4,736</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6,908</w:t>
            </w: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(266)</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(168)</w:t>
            </w:r>
          </w:p>
        </w:tc>
        <w:tc>
          <w:tcPr>
            <w:tcW w:w="132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(0.2)%</w:t>
            </w:r>
          </w:p>
        </w:tc>
      </w:tr>
      <w:tr>
        <w:trPr>
          <w:trHeight w:val="183"/>
        </w:trPr>
        <w:tc>
          <w:tcPr>
            <w:tcW w:w="4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4,470</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6,740</w:t>
            </w:r>
          </w:p>
        </w:tc>
        <w:tc>
          <w:tcPr>
            <w:tcW w:w="1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7.3</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(957)</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(0.9)%</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(1,443)</w:t>
            </w:r>
          </w:p>
        </w:tc>
        <w:tc>
          <w:tcPr>
            <w:tcW w:w="132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(1.6)%</w:t>
            </w:r>
          </w:p>
        </w:tc>
      </w:tr>
      <w:tr>
        <w:trPr>
          <w:trHeight w:val="183"/>
        </w:trPr>
        <w:tc>
          <w:tcPr>
            <w:tcW w:w="4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3,513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3.4 %</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5,297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5.8 %</w:t>
            </w: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p>
      <w:pPr>
        <w:spacing w:after="0" w:line="81"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first quarter of 2022 increased $10.4 million, or 11.3%, compared with the first quarter of 2021. Sales increased at comparable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stores by 10.7% during the first quarter of 2022 compared to the first quarter of 2021, primarily due to an increase in average ticket driven by higher prices.</w:t>
      </w:r>
    </w:p>
    <w:p>
      <w:pPr>
        <w:spacing w:after="0" w:line="96"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first quarter of 2022 increased $2.7 million, or 4.1%, compared with the first quarter of 2021, primarily due to the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sales. The gross margin rate was 65.2% and 69.7% during the first quarter of 2022 and 2021, respectively. The decrease in the gross margin rate was primarily due to an increase in the cost of our products driven by vendor cost increases and higher international freight rates, which were partially offset by an increase in selling prices.</w:t>
      </w:r>
    </w:p>
    <w:p>
      <w:pPr>
        <w:spacing w:after="0" w:line="148"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for the first quarter of 2022 increased $4.8 million, or 8.4%,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with the first quarter of 2021. The increase in selling, general and administrative expenses was primarily due to a $3.9 million increase in payroll and benefits expenses associated with headcount additions made over the last year. Additionally, marketing expenses increased by $0.7 million and distribution costs increased by $0.5, million which were partially offset by a $0.8 million decrease in depreciation expense.</w:t>
      </w:r>
    </w:p>
    <w:p>
      <w:pPr>
        <w:spacing w:after="0" w:line="144"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$0.3 million and $0.2 million for the first quarter of 2022 and 2021, respectively. The increase was due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outstanding debt during the first quarter of 2022 as compared to the first quarter of 2021.</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for the first quarter of 2022 decreased $0.5 million compared with the first quarter of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in the provision for income tax was largely due to the decrease in income before taxes. Our effective tax rate was 21.4% for both the three months ended March 31, 2022 and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months ended March 31, 2022 and 2021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9"/>
        </w:trPr>
        <w:tc>
          <w:tcPr>
            <w:tcW w:w="38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60" w:type="dxa"/>
            <w:vAlign w:val="bottom"/>
            <w:gridSpan w:val="6"/>
          </w:tcPr>
          <w:p>
            <w:pPr>
              <w:ind w:left="600"/>
              <w:spacing w:after="0" w:line="189" w:lineRule="exact"/>
              <w:rPr>
                <w:sz w:val="20"/>
                <w:szCs w:val="20"/>
                <w:color w:val="auto"/>
              </w:rPr>
            </w:pPr>
            <w:r>
              <w:rPr>
                <w:rFonts w:ascii="Arial" w:cs="Arial" w:eastAsia="Arial" w:hAnsi="Arial"/>
                <w:sz w:val="18"/>
                <w:szCs w:val="18"/>
                <w:color w:val="auto"/>
              </w:rPr>
              <w:t>Three Months Ended</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7"/>
        </w:trPr>
        <w:tc>
          <w:tcPr>
            <w:tcW w:w="3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color w:val="auto"/>
                <w:w w:val="92"/>
              </w:rPr>
              <w:t>March 31,</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10"/>
        </w:trPr>
        <w:tc>
          <w:tcPr>
            <w:tcW w:w="38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8"/>
                <w:szCs w:val="18"/>
                <w:color w:val="auto"/>
              </w:rPr>
            </w:pPr>
          </w:p>
        </w:tc>
        <w:tc>
          <w:tcPr>
            <w:tcW w:w="1340" w:type="dxa"/>
            <w:vAlign w:val="bottom"/>
            <w:gridSpan w:val="3"/>
          </w:tcPr>
          <w:p>
            <w:pPr>
              <w:ind w:left="260"/>
              <w:spacing w:after="0"/>
              <w:rPr>
                <w:sz w:val="20"/>
                <w:szCs w:val="20"/>
                <w:color w:val="auto"/>
              </w:rPr>
            </w:pPr>
            <w:r>
              <w:rPr>
                <w:rFonts w:ascii="Arial" w:cs="Arial" w:eastAsia="Arial" w:hAnsi="Arial"/>
                <w:sz w:val="18"/>
                <w:szCs w:val="18"/>
                <w:color w:val="auto"/>
              </w:rPr>
              <w:t>% of sales</w:t>
            </w:r>
          </w:p>
        </w:tc>
        <w:tc>
          <w:tcPr>
            <w:tcW w:w="500" w:type="dxa"/>
            <w:vAlign w:val="bottom"/>
          </w:tcPr>
          <w:p>
            <w:pPr>
              <w:spacing w:after="0"/>
              <w:rPr>
                <w:sz w:val="18"/>
                <w:szCs w:val="18"/>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89"/>
              </w:rPr>
              <w:t>2021</w:t>
            </w:r>
          </w:p>
        </w:tc>
        <w:tc>
          <w:tcPr>
            <w:tcW w:w="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of sales</w:t>
            </w:r>
          </w:p>
        </w:tc>
        <w:tc>
          <w:tcPr>
            <w:tcW w:w="280" w:type="dxa"/>
            <w:vAlign w:val="bottom"/>
          </w:tcPr>
          <w:p>
            <w:pPr>
              <w:spacing w:after="0"/>
              <w:rPr>
                <w:sz w:val="18"/>
                <w:szCs w:val="18"/>
                <w:color w:val="auto"/>
              </w:rPr>
            </w:pPr>
          </w:p>
        </w:tc>
      </w:tr>
      <w:tr>
        <w:trPr>
          <w:trHeight w:val="183"/>
        </w:trPr>
        <w:tc>
          <w:tcPr>
            <w:tcW w:w="38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8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3,513</w:t>
            </w:r>
          </w:p>
        </w:tc>
        <w:tc>
          <w:tcPr>
            <w:tcW w:w="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w:t>
            </w:r>
          </w:p>
        </w:tc>
        <w:tc>
          <w:tcPr>
            <w:tcW w:w="3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5,297</w:t>
            </w:r>
          </w:p>
        </w:tc>
        <w:tc>
          <w:tcPr>
            <w:tcW w:w="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5.8</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266</w:t>
            </w:r>
          </w:p>
        </w:tc>
        <w:tc>
          <w:tcPr>
            <w:tcW w:w="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0.3</w:t>
            </w:r>
          </w:p>
        </w:tc>
        <w:tc>
          <w:tcPr>
            <w:tcW w:w="3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168</w:t>
            </w:r>
          </w:p>
        </w:tc>
        <w:tc>
          <w:tcPr>
            <w:tcW w:w="2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0.2</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1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957</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1,443</w:t>
            </w:r>
          </w:p>
        </w:tc>
        <w:tc>
          <w:tcPr>
            <w:tcW w:w="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6,439</w:t>
            </w:r>
          </w:p>
        </w:tc>
        <w:tc>
          <w:tcPr>
            <w:tcW w:w="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6.3</w:t>
            </w:r>
          </w:p>
        </w:tc>
        <w:tc>
          <w:tcPr>
            <w:tcW w:w="3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7,194</w:t>
            </w:r>
          </w:p>
        </w:tc>
        <w:tc>
          <w:tcPr>
            <w:tcW w:w="2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7.8</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8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492</w:t>
            </w:r>
          </w:p>
        </w:tc>
        <w:tc>
          <w:tcPr>
            <w:tcW w:w="4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32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592</w:t>
            </w:r>
          </w:p>
        </w:tc>
        <w:tc>
          <w:tcPr>
            <w:tcW w:w="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0.6</w:t>
            </w:r>
          </w:p>
        </w:tc>
        <w:tc>
          <w:tcPr>
            <w:tcW w:w="28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386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184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11,667</w:t>
            </w:r>
          </w:p>
        </w:tc>
        <w:tc>
          <w:tcPr>
            <w:tcW w:w="40" w:type="dxa"/>
            <w:vAlign w:val="bottom"/>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11.4</w:t>
            </w:r>
          </w:p>
        </w:tc>
        <w:tc>
          <w:tcPr>
            <w:tcW w:w="3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14,694</w:t>
            </w:r>
          </w:p>
        </w:tc>
        <w:tc>
          <w:tcPr>
            <w:tcW w:w="20" w:type="dxa"/>
            <w:vAlign w:val="bottom"/>
          </w:tcPr>
          <w:p>
            <w:pPr>
              <w:spacing w:after="0"/>
              <w:rPr>
                <w:sz w:val="15"/>
                <w:szCs w:val="15"/>
                <w:color w:val="auto"/>
              </w:rPr>
            </w:pPr>
          </w:p>
        </w:tc>
        <w:tc>
          <w:tcPr>
            <w:tcW w:w="108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16.0</w:t>
            </w:r>
          </w:p>
        </w:tc>
        <w:tc>
          <w:tcPr>
            <w:tcW w:w="28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r>
      <w:tr>
        <w:trPr>
          <w:trHeight w:val="20"/>
        </w:trPr>
        <w:tc>
          <w:tcPr>
            <w:tcW w:w="3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520"/>
        </w:trPr>
        <w:tc>
          <w:tcPr>
            <w:tcW w:w="3860" w:type="dxa"/>
            <w:vAlign w:val="bottom"/>
          </w:tcPr>
          <w:p>
            <w:pPr>
              <w:spacing w:after="0"/>
              <w:rPr>
                <w:sz w:val="24"/>
                <w:szCs w:val="24"/>
                <w:color w:val="auto"/>
              </w:rPr>
            </w:pPr>
          </w:p>
        </w:tc>
        <w:tc>
          <w:tcPr>
            <w:tcW w:w="2140" w:type="dxa"/>
            <w:vAlign w:val="bottom"/>
            <w:gridSpan w:val="2"/>
          </w:tcPr>
          <w:p>
            <w:pPr>
              <w:jc w:val="right"/>
              <w:ind w:right="190"/>
              <w:spacing w:after="0"/>
              <w:rPr>
                <w:sz w:val="20"/>
                <w:szCs w:val="20"/>
                <w:color w:val="auto"/>
              </w:rPr>
            </w:pPr>
            <w:r>
              <w:rPr>
                <w:rFonts w:ascii="Arial" w:cs="Arial" w:eastAsia="Arial" w:hAnsi="Arial"/>
                <w:sz w:val="18"/>
                <w:szCs w:val="18"/>
                <w:color w:val="auto"/>
              </w:rPr>
              <w:t>18</w:t>
            </w: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38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8060" w:type="dxa"/>
            <w:vAlign w:val="bottom"/>
            <w:gridSpan w:val="2"/>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220" w:type="dxa"/>
            <w:vAlign w:val="bottom"/>
          </w:tcPr>
          <w:p>
            <w:pPr>
              <w:spacing w:after="0"/>
              <w:rPr>
                <w:sz w:val="24"/>
                <w:szCs w:val="24"/>
                <w:color w:val="auto"/>
              </w:rPr>
            </w:pPr>
          </w:p>
        </w:tc>
        <w:tc>
          <w:tcPr>
            <w:tcW w:w="2960" w:type="dxa"/>
            <w:vAlign w:val="bottom"/>
            <w:gridSpan w:val="5"/>
            <w:vMerge w:val="restart"/>
          </w:tcPr>
          <w:p>
            <w:pPr>
              <w:jc w:val="right"/>
              <w:ind w:right="128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6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360" w:type="dxa"/>
            <w:vAlign w:val="bottom"/>
            <w:tcBorders>
              <w:bottom w:val="single" w:sz="8" w:color="CCEEFF"/>
            </w:tcBorders>
          </w:tcPr>
          <w:p>
            <w:pPr>
              <w:spacing w:after="0"/>
              <w:rPr>
                <w:sz w:val="21"/>
                <w:szCs w:val="21"/>
                <w:color w:val="auto"/>
              </w:rPr>
            </w:pPr>
          </w:p>
        </w:tc>
        <w:tc>
          <w:tcPr>
            <w:tcW w:w="67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rPr>
              <w:t>2022</w:t>
            </w:r>
            <w:r>
              <w:rPr>
                <w:rFonts w:ascii="Arial" w:cs="Arial" w:eastAsia="Arial" w:hAnsi="Arial"/>
                <w:sz w:val="28"/>
                <w:szCs w:val="28"/>
                <w:color w:val="auto"/>
                <w:vertAlign w:val="superscript"/>
              </w:rPr>
              <w:t>(1)</w:t>
            </w:r>
          </w:p>
        </w:tc>
        <w:tc>
          <w:tcPr>
            <w:tcW w:w="2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w w:val="92"/>
              </w:rPr>
              <w:t>2021</w:t>
            </w:r>
            <w:r>
              <w:rPr>
                <w:rFonts w:ascii="Arial" w:cs="Arial" w:eastAsia="Arial" w:hAnsi="Arial"/>
                <w:sz w:val="28"/>
                <w:szCs w:val="28"/>
                <w:color w:val="auto"/>
                <w:w w:val="92"/>
                <w:vertAlign w:val="superscript"/>
              </w:rPr>
              <w:t>(1)</w:t>
            </w:r>
          </w:p>
        </w:tc>
        <w:tc>
          <w:tcPr>
            <w:tcW w:w="4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0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 (trailing twelve months)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18,438</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10,691</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350,217</w:t>
            </w: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358,686</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(23,724)</w:t>
            </w:r>
          </w:p>
        </w:tc>
        <w:tc>
          <w:tcPr>
            <w:tcW w:w="340" w:type="dxa"/>
            <w:vAlign w:val="bottom"/>
          </w:tcPr>
          <w:p>
            <w:pPr>
              <w:spacing w:after="0"/>
              <w:rPr>
                <w:sz w:val="16"/>
                <w:szCs w:val="16"/>
                <w:color w:val="auto"/>
              </w:rPr>
            </w:pPr>
          </w:p>
        </w:tc>
        <w:tc>
          <w:tcPr>
            <w:tcW w:w="13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(15,255)</w:t>
            </w:r>
          </w:p>
        </w:tc>
        <w:tc>
          <w:tcPr>
            <w:tcW w:w="0" w:type="dxa"/>
            <w:vAlign w:val="bottom"/>
          </w:tcPr>
          <w:p>
            <w:pPr>
              <w:spacing w:after="0"/>
              <w:rPr>
                <w:sz w:val="1"/>
                <w:szCs w:val="1"/>
                <w:color w:val="auto"/>
              </w:rPr>
            </w:pP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(409)</w:t>
            </w: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(42,174)</w:t>
            </w:r>
          </w:p>
        </w:tc>
        <w:tc>
          <w:tcPr>
            <w:tcW w:w="340" w:type="dxa"/>
            <w:vAlign w:val="bottom"/>
          </w:tcPr>
          <w:p>
            <w:pPr>
              <w:spacing w:after="0"/>
              <w:rPr>
                <w:sz w:val="16"/>
                <w:szCs w:val="16"/>
                <w:color w:val="auto"/>
              </w:rPr>
            </w:pPr>
          </w:p>
        </w:tc>
        <w:tc>
          <w:tcPr>
            <w:tcW w:w="13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(42,341)</w:t>
            </w:r>
          </w:p>
        </w:tc>
        <w:tc>
          <w:tcPr>
            <w:tcW w:w="0" w:type="dxa"/>
            <w:vAlign w:val="bottom"/>
          </w:tcPr>
          <w:p>
            <w:pPr>
              <w:spacing w:after="0"/>
              <w:rPr>
                <w:sz w:val="1"/>
                <w:szCs w:val="1"/>
                <w:color w:val="auto"/>
              </w:rPr>
            </w:pP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(138,478)</w:t>
            </w: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(150,892)</w:t>
            </w:r>
          </w:p>
        </w:tc>
        <w:tc>
          <w:tcPr>
            <w:tcW w:w="0" w:type="dxa"/>
            <w:vAlign w:val="bottom"/>
          </w:tcPr>
          <w:p>
            <w:pPr>
              <w:spacing w:after="0"/>
              <w:rPr>
                <w:sz w:val="1"/>
                <w:szCs w:val="1"/>
                <w:color w:val="auto"/>
              </w:rPr>
            </w:pP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(5,086)</w:t>
            </w:r>
          </w:p>
        </w:tc>
        <w:tc>
          <w:tcPr>
            <w:tcW w:w="340" w:type="dxa"/>
            <w:vAlign w:val="bottom"/>
          </w:tcPr>
          <w:p>
            <w:pPr>
              <w:spacing w:after="0"/>
              <w:rPr>
                <w:sz w:val="16"/>
                <w:szCs w:val="16"/>
                <w:color w:val="auto"/>
              </w:rPr>
            </w:pPr>
          </w:p>
        </w:tc>
        <w:tc>
          <w:tcPr>
            <w:tcW w:w="13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(3,965)</w:t>
            </w:r>
          </w:p>
        </w:tc>
        <w:tc>
          <w:tcPr>
            <w:tcW w:w="0" w:type="dxa"/>
            <w:vAlign w:val="bottom"/>
          </w:tcPr>
          <w:p>
            <w:pPr>
              <w:spacing w:after="0"/>
              <w:rPr>
                <w:sz w:val="1"/>
                <w:szCs w:val="1"/>
                <w:color w:val="auto"/>
              </w:rPr>
            </w:pPr>
          </w:p>
        </w:tc>
      </w:tr>
      <w:tr>
        <w:trPr>
          <w:trHeight w:val="183"/>
        </w:trPr>
        <w:tc>
          <w:tcPr>
            <w:tcW w:w="806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140,346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146,092</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59"/>
        <w:spacing w:after="0" w:line="194" w:lineRule="auto"/>
        <w:tabs>
          <w:tab w:leader="none" w:pos="288"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$13.5 million of cash and cash equivalents at March 31, 2022, our cash flow from operations, and borrowings available under our Credit Agreement. We expect to use this liquidity for purchasing additional merchandise inventory, maintaining our existing stores, and general corporate purposes.</w:t>
      </w:r>
    </w:p>
    <w:p>
      <w:pPr>
        <w:spacing w:after="0" w:line="148"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which was amended November 16, 2021 (as amended, the “Credit Agreement”). The Credit Agreement provides us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At March 31, 2022, the base interest rate was 4.25% and the LIBOR-based interest rate was 2.20%. We had $5.0 million outstanding on our revolving line of credit as of March 31, 2022. In addition, we have standby letters of credit outstanding related to our workers’ compensation and medical insurance policies. Standby letters of credit totaled $2.4 million as of both March 31, 2022 and December 31, 2021. There was $92.6 million available for borrowing on the revolving line of credit as of March 31, 2022, which may be used to support our growth and for working capital purposes.</w:t>
      </w:r>
    </w:p>
    <w:p>
      <w:pPr>
        <w:spacing w:after="0" w:line="14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March 31, 2022.</w:t>
      </w:r>
    </w:p>
    <w:p>
      <w:pPr>
        <w:spacing w:after="0" w:line="151" w:lineRule="exact"/>
        <w:rPr>
          <w:sz w:val="20"/>
          <w:szCs w:val="20"/>
          <w:color w:val="auto"/>
        </w:rPr>
      </w:pPr>
    </w:p>
    <w:p>
      <w:pPr>
        <w:jc w:val="both"/>
        <w:ind w:right="80"/>
        <w:spacing w:after="0" w:line="307"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Capital expenditures were $2.9 million and $3.2 million for the three months ended March 31, 2022 and 2021, respectively. Capital expenditures in 2022 were primarily due to investments in store remodels, merchandising and information technology assets.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three months ended March 31, 2022 and 2021.</w:t>
      </w:r>
    </w:p>
    <w:p>
      <w:pPr>
        <w:spacing w:after="0" w:line="21"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(in thousands)</w:t>
      </w:r>
    </w:p>
    <w:p>
      <w:pPr>
        <w:jc w:val="center"/>
        <w:ind w:left="8320"/>
        <w:spacing w:after="0" w:line="219" w:lineRule="auto"/>
        <w:rPr>
          <w:sz w:val="20"/>
          <w:szCs w:val="20"/>
          <w:color w:val="auto"/>
        </w:rPr>
      </w:pPr>
      <w:r>
        <w:rPr>
          <w:rFonts w:ascii="Arial" w:cs="Arial" w:eastAsia="Arial" w:hAnsi="Arial"/>
          <w:sz w:val="18"/>
          <w:szCs w:val="18"/>
          <w:color w:val="auto"/>
        </w:rPr>
        <w:t>Three Months Ended</w:t>
      </w:r>
    </w:p>
    <w:p>
      <w:pPr>
        <w:jc w:val="center"/>
        <w:ind w:left="8320"/>
        <w:spacing w:after="0" w:line="233" w:lineRule="auto"/>
        <w:rPr>
          <w:sz w:val="20"/>
          <w:szCs w:val="20"/>
          <w:color w:val="auto"/>
        </w:rPr>
      </w:pPr>
      <w:r>
        <w:rPr>
          <w:rFonts w:ascii="Arial" w:cs="Arial" w:eastAsia="Arial" w:hAnsi="Arial"/>
          <w:sz w:val="18"/>
          <w:szCs w:val="18"/>
          <w:color w:val="auto"/>
        </w:rPr>
        <w:t>March 31,</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2022</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7,634</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30,114</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(2,933)</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(3,202)</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(607)</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Net cash provided by operating activities during the three months ended March 31, 2022 was $7.6 million compared with $30.1 million during the three months ended March 31, 2021. The decrease was primarily attributable to a decrease in net income and an increase in inventory purchases in 2022.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Net cash used in investing activities totaled $2.9 million for the three months ended March 31, 2022 compared with $3.2 million for the three months ended March 31, 2021. Cash used in investing activities during the three months ended March 31, 2022 was primarily due to investments in store remodels, merchandising and information technology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Net cash used in financing activities was $0.6 million for both the three months ended March 31, 2022 and 2021 and was primarily due to tax payments made in exchange for shares withheld from restricted share vestings.</w:t>
      </w:r>
    </w:p>
    <w:p>
      <w:pPr>
        <w:spacing w:after="0" w:line="14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Cash and cash equivalents totaled $13.5 million at March 31, 2022 compared with $9.4 million at December 31, 2021. Working capital was $33.0 million at March 31, 2022 compared with $29.4 million at December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We are currently evaluating the impact this guidance will have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March 31, 2022 and concluded that our disclosure controls and procedures were effective as of the end of the period covered by this Quarterly Report on Form 10-Q for the quarter ended March 31,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80"/>
        <w:spacing w:after="0" w:line="274" w:lineRule="auto"/>
        <w:rPr>
          <w:sz w:val="20"/>
          <w:szCs w:val="20"/>
          <w:color w:val="auto"/>
        </w:rPr>
      </w:pPr>
      <w:r>
        <w:rPr>
          <w:rFonts w:ascii="Arial" w:cs="Arial" w:eastAsia="Arial" w:hAnsi="Arial"/>
          <w:sz w:val="17"/>
          <w:szCs w:val="17"/>
          <w:color w:val="auto"/>
        </w:rPr>
        <w:t>There were no changes in internal control over financial reporting (as defined by Rule 13a-15(f) under the Exchange Act) during the quarter ended March 31, 2022 that have materially affected, or are reasonably likely to materially affect, our internal control over financial reporting.</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Annual Report on Form 10-K for the year ended December 31, 2021.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Total Number of</w:t>
            </w:r>
          </w:p>
        </w:tc>
        <w:tc>
          <w:tcPr>
            <w:tcW w:w="1460" w:type="dxa"/>
            <w:vAlign w:val="bottom"/>
          </w:tcPr>
          <w:p>
            <w:pPr>
              <w:jc w:val="right"/>
              <w:spacing w:after="0"/>
              <w:rPr>
                <w:sz w:val="20"/>
                <w:szCs w:val="20"/>
                <w:color w:val="auto"/>
              </w:rPr>
            </w:pPr>
            <w:r>
              <w:rPr>
                <w:rFonts w:ascii="Arial" w:cs="Arial" w:eastAsia="Arial" w:hAnsi="Arial"/>
                <w:sz w:val="18"/>
                <w:szCs w:val="18"/>
                <w:color w:val="auto"/>
                <w:w w:val="93"/>
              </w:rPr>
              <w:t>Maximum Number</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8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4"/>
              </w:rPr>
              <w:t>Shares Purchased as</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w w:val="91"/>
              </w:rPr>
              <w:t>of Shares that May</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94"/>
              </w:rPr>
              <w:t>Part of Publicly</w:t>
            </w:r>
          </w:p>
        </w:tc>
        <w:tc>
          <w:tcPr>
            <w:tcW w:w="146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0"/>
              </w:rPr>
              <w:t>Yet be Purchased</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Total Number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line="189" w:lineRule="exact"/>
              <w:rPr>
                <w:sz w:val="20"/>
                <w:szCs w:val="20"/>
                <w:color w:val="auto"/>
              </w:rPr>
            </w:pPr>
            <w:r>
              <w:rPr>
                <w:rFonts w:ascii="Arial" w:cs="Arial" w:eastAsia="Arial" w:hAnsi="Arial"/>
                <w:sz w:val="18"/>
                <w:szCs w:val="18"/>
                <w:color w:val="auto"/>
              </w:rPr>
              <w:t>Average Price</w:t>
            </w:r>
          </w:p>
        </w:tc>
        <w:tc>
          <w:tcPr>
            <w:tcW w:w="188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0"/>
              </w:rPr>
              <w:t>Announced Plans or</w:t>
            </w:r>
          </w:p>
        </w:tc>
        <w:tc>
          <w:tcPr>
            <w:tcW w:w="1460" w:type="dxa"/>
            <w:vAlign w:val="bottom"/>
          </w:tcPr>
          <w:p>
            <w:pPr>
              <w:jc w:val="right"/>
              <w:spacing w:after="0" w:line="189" w:lineRule="exact"/>
              <w:rPr>
                <w:sz w:val="20"/>
                <w:szCs w:val="20"/>
                <w:color w:val="auto"/>
              </w:rPr>
            </w:pPr>
            <w:r>
              <w:rPr>
                <w:rFonts w:ascii="Arial" w:cs="Arial" w:eastAsia="Arial" w:hAnsi="Arial"/>
                <w:sz w:val="18"/>
                <w:szCs w:val="18"/>
                <w:color w:val="auto"/>
                <w:w w:val="90"/>
              </w:rPr>
              <w:t>Under the Plans or</w:t>
            </w:r>
          </w:p>
        </w:tc>
      </w:tr>
      <w:tr>
        <w:trPr>
          <w:trHeight w:val="190"/>
        </w:trPr>
        <w:tc>
          <w:tcPr>
            <w:tcW w:w="4860" w:type="dxa"/>
            <w:vAlign w:val="bottom"/>
            <w:gridSpan w:val="2"/>
          </w:tcPr>
          <w:p>
            <w:pPr>
              <w:spacing w:after="0" w:line="190" w:lineRule="exact"/>
              <w:rPr>
                <w:sz w:val="20"/>
                <w:szCs w:val="20"/>
                <w:color w:val="auto"/>
              </w:rPr>
            </w:pPr>
            <w:r>
              <w:rPr>
                <w:rFonts w:ascii="Arial" w:cs="Arial" w:eastAsia="Arial" w:hAnsi="Arial"/>
                <w:sz w:val="18"/>
                <w:szCs w:val="18"/>
                <w:color w:val="auto"/>
              </w:rPr>
              <w:t>Period</w:t>
            </w:r>
          </w:p>
        </w:tc>
        <w:tc>
          <w:tcPr>
            <w:tcW w:w="1480" w:type="dxa"/>
            <w:vAlign w:val="bottom"/>
          </w:tcPr>
          <w:p>
            <w:pPr>
              <w:jc w:val="right"/>
              <w:ind w:right="10"/>
              <w:spacing w:after="0" w:line="190" w:lineRule="exact"/>
              <w:rPr>
                <w:sz w:val="20"/>
                <w:szCs w:val="20"/>
                <w:color w:val="auto"/>
              </w:rPr>
            </w:pPr>
            <w:r>
              <w:rPr>
                <w:rFonts w:ascii="Arial" w:cs="Arial" w:eastAsia="Arial" w:hAnsi="Arial"/>
                <w:sz w:val="18"/>
                <w:szCs w:val="18"/>
                <w:color w:val="auto"/>
                <w:w w:val="91"/>
              </w:rPr>
              <w:t>Shares Purchased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line="190" w:lineRule="exact"/>
              <w:rPr>
                <w:sz w:val="20"/>
                <w:szCs w:val="20"/>
                <w:color w:val="auto"/>
              </w:rPr>
            </w:pPr>
            <w:r>
              <w:rPr>
                <w:rFonts w:ascii="Arial" w:cs="Arial" w:eastAsia="Arial" w:hAnsi="Arial"/>
                <w:sz w:val="18"/>
                <w:szCs w:val="18"/>
                <w:color w:val="auto"/>
                <w:w w:val="94"/>
              </w:rPr>
              <w:t>Paid per Share</w:t>
            </w:r>
          </w:p>
        </w:tc>
        <w:tc>
          <w:tcPr>
            <w:tcW w:w="240" w:type="dxa"/>
            <w:vAlign w:val="bottom"/>
          </w:tcPr>
          <w:p>
            <w:pPr>
              <w:spacing w:after="0"/>
              <w:rPr>
                <w:sz w:val="16"/>
                <w:szCs w:val="16"/>
                <w:color w:val="auto"/>
              </w:rPr>
            </w:pPr>
          </w:p>
        </w:tc>
        <w:tc>
          <w:tcPr>
            <w:tcW w:w="1640" w:type="dxa"/>
            <w:vAlign w:val="bottom"/>
            <w:gridSpan w:val="2"/>
          </w:tcPr>
          <w:p>
            <w:pPr>
              <w:jc w:val="center"/>
              <w:ind w:right="140"/>
              <w:spacing w:after="0" w:line="190" w:lineRule="exact"/>
              <w:rPr>
                <w:sz w:val="20"/>
                <w:szCs w:val="20"/>
                <w:color w:val="auto"/>
              </w:rPr>
            </w:pPr>
            <w:r>
              <w:rPr>
                <w:rFonts w:ascii="Arial" w:cs="Arial" w:eastAsia="Arial" w:hAnsi="Arial"/>
                <w:sz w:val="18"/>
                <w:szCs w:val="18"/>
                <w:color w:val="auto"/>
                <w:w w:val="89"/>
              </w:rPr>
              <w:t>Program</w:t>
            </w:r>
          </w:p>
        </w:tc>
        <w:tc>
          <w:tcPr>
            <w:tcW w:w="14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Programs</w:t>
            </w: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48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January 1, 2022 - January 31, 2022</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3,195</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87"/>
              </w:rPr>
              <w:t>(1)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February 1, 2022 - February 28, 2022</w:t>
            </w:r>
          </w:p>
        </w:tc>
        <w:tc>
          <w:tcPr>
            <w:tcW w:w="1480" w:type="dxa"/>
            <w:vAlign w:val="bottom"/>
          </w:tcPr>
          <w:p>
            <w:pPr>
              <w:jc w:val="right"/>
              <w:spacing w:after="0"/>
              <w:rPr>
                <w:sz w:val="20"/>
                <w:szCs w:val="20"/>
                <w:color w:val="auto"/>
              </w:rPr>
            </w:pPr>
            <w:r>
              <w:rPr>
                <w:rFonts w:ascii="Arial" w:cs="Arial" w:eastAsia="Arial" w:hAnsi="Arial"/>
                <w:sz w:val="18"/>
                <w:szCs w:val="18"/>
                <w:color w:val="auto"/>
              </w:rPr>
              <w:t>34,926</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w w:val="97"/>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2022 - March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7"/>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270,777</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2.24</w:t>
            </w:r>
          </w:p>
        </w:tc>
        <w:tc>
          <w:tcPr>
            <w:tcW w:w="24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260" w:hanging="332"/>
        <w:spacing w:after="0" w:line="192"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We cancelled 3,195 shares that were forfeited when the vesting conditions were not met, in accordance with the terms of the 2012 Omnibus Award Plan and related award agreements. We did not pay cash to repurchase these shares, nor were these repurchases part of a publicly announced plan or program.</w:t>
      </w:r>
    </w:p>
    <w:p>
      <w:pPr>
        <w:spacing w:after="0" w:line="27" w:lineRule="exact"/>
        <w:rPr>
          <w:rFonts w:ascii="Arial" w:cs="Arial" w:eastAsia="Arial" w:hAnsi="Arial"/>
          <w:sz w:val="30"/>
          <w:szCs w:val="30"/>
          <w:color w:val="auto"/>
          <w:vertAlign w:val="superscript"/>
        </w:rPr>
      </w:pPr>
    </w:p>
    <w:p>
      <w:pPr>
        <w:ind w:left="340" w:right="180" w:hanging="332"/>
        <w:spacing w:after="0" w:line="198"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We withheld a total of 31,731 shares to satisfy tax withholding obligations due upon the vesting of restricted stock grants, as allowed by the 2012 Omnibus Award Plan. Additionally, we cancelled 3,195 shares that were forfeited when the vesting conditions were not met, in accordance with the terms of the 2012 Omnibus Award Plan and related award agreements. We did not pay cash to repurchase any of the foregoing shares, nor were these repurchases part of a publicly announced plan or program.</w:t>
      </w:r>
    </w:p>
    <w:p>
      <w:pPr>
        <w:spacing w:after="0" w:line="26" w:lineRule="exact"/>
        <w:rPr>
          <w:rFonts w:ascii="Arial" w:cs="Arial" w:eastAsia="Arial" w:hAnsi="Arial"/>
          <w:sz w:val="30"/>
          <w:szCs w:val="30"/>
          <w:color w:val="auto"/>
          <w:vertAlign w:val="superscript"/>
        </w:rPr>
      </w:pPr>
    </w:p>
    <w:p>
      <w:pPr>
        <w:ind w:left="340" w:right="100" w:hanging="332"/>
        <w:spacing w:after="0" w:line="198"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We withheld a total of 61,218 shares and 0 shares to satisfy tax withholding obligations due upon the vesting of restricted stock grants and 159,879 shares and 11,559 shares were forfeited when the vesting conditions were not met, in accordance with the terms of the 2012 Omnibus Award Plan and 2021 Omnibus Equity Compensation Plan, respectively, and the related award agreements. We did not pay cash to repurchase these shares, nor were these repurchases part of a publicly announced plan or program.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following table sets forth, as of May 2, 2022, information regarding beneficial ownership of our common stock by each person, or group of affiliated persons, known by us to beneficially own more than 5% of our common stock.</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We have based our calculation of the percentage of beneficial ownership on 52,101,412 shares of our common stock outstanding on May 2, 2022.</w:t>
      </w:r>
    </w:p>
    <w:p>
      <w:pPr>
        <w:spacing w:after="0" w:line="18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 Shares</w:t>
            </w:r>
          </w:p>
        </w:tc>
        <w:tc>
          <w:tcPr>
            <w:tcW w:w="10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500" w:type="dxa"/>
            <w:vAlign w:val="bottom"/>
            <w:gridSpan w:val="2"/>
            <w:vMerge w:val="continue"/>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Beneficially Owned</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8,370,879</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6,872,802</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3,147,164</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93"/>
        </w:trPr>
        <w:tc>
          <w:tcPr>
            <w:tcW w:w="8500" w:type="dxa"/>
            <w:vAlign w:val="bottom"/>
            <w:gridSpan w:val="2"/>
          </w:tcPr>
          <w:p>
            <w:pPr>
              <w:spacing w:after="0"/>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660" w:right="100" w:hanging="652"/>
        <w:spacing w:after="0" w:line="237"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4, 2022 by JWTS, Inc. (“JWTS”), Peter J. Jacullo III, and the Katherine D. Jacullo Children’s 1993 Irrevocable Trust (the “Jacullo Trust”) and a Form 4 filed by Mr. Jacullo with the SEC on December 16, 2021.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473,210 shares of common stock over which he has sole voting and dispositive power, including 14,477 shares of unvested restricted common stock.</w:t>
      </w:r>
    </w:p>
    <w:p>
      <w:pPr>
        <w:spacing w:after="0" w:line="148" w:lineRule="exact"/>
        <w:rPr>
          <w:rFonts w:ascii="Arial" w:cs="Arial" w:eastAsia="Arial" w:hAnsi="Arial"/>
          <w:sz w:val="17"/>
          <w:szCs w:val="17"/>
          <w:color w:val="auto"/>
        </w:rPr>
      </w:pPr>
    </w:p>
    <w:p>
      <w:pPr>
        <w:ind w:left="660" w:right="20" w:hanging="652"/>
        <w:spacing w:after="0" w:line="25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14, 2020 by Peter H. Kamin and a Form 4 filed by Mr. Kamin with the SEC on July 21, 2021. Includes (i) 1,694,608 shares of common stock held by the Peter H. Kamin Revocable Trust dated February 2003, of which Peter H. Kamin is the trustee; (ii) 1,033,562 shares of common stock held by the Peter H. Kamin Childrens Trust dated March 1997, of which Mr. Kamin is the trustee; (iii) 97,453 shares of common stock held by the Peter H. Kamin Family Foundation, of which Mr. Kamin is the trustee; (iv) 328,711 shares of common stock held by the Peter H. Kamin GST Trust, of which Mr. Kamin is the trustee; (v) 333,307 shares of common stock held by 3K Limited Partnership, of which Mr. Kamin is the general partner; and (vi) 3,385,161 shares of common stock directly held by Mr. Kamin, including 23,918 shares of unvested restricted common stock. Mr. Kamin has sole voting and dispositive power over all such shares.</w:t>
      </w:r>
    </w:p>
    <w:p>
      <w:pPr>
        <w:spacing w:after="0" w:line="138" w:lineRule="exact"/>
        <w:rPr>
          <w:rFonts w:ascii="Arial" w:cs="Arial" w:eastAsia="Arial" w:hAnsi="Arial"/>
          <w:sz w:val="16"/>
          <w:szCs w:val="16"/>
          <w:color w:val="auto"/>
        </w:rPr>
      </w:pPr>
    </w:p>
    <w:p>
      <w:pPr>
        <w:ind w:left="660" w:right="10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3, 2021 by Cannell Capital LLC and J. Carlo Cannell. Cannell Capital LLC acts as the investment adviser to Tonga Partners, L.P., Tristan Partners, L.P. and Tristan Offshore Fund, Ltd. (the “Funds”) and as investment advisor to various separately-managed accounts (collectively with the Funds, the “Investment Vehicles”). Mr. Cannell is the sole managing member of Cannell Capital LLC and investment adviser to the Investment Vehicles. As such, Cannell Capital LLC and Mr. Cannell may be deemed to beneficially own the 3,147,164 shares of common stock held directly by the Investment Vehicles and have sole voting and dispositive power over such shares. The business address of the reporting persons is 245 Meriwether Circle, Alta, Wyoming 83414.</w:t>
      </w:r>
    </w:p>
    <w:p>
      <w:pPr>
        <w:spacing w:after="0" w:line="150" w:lineRule="exact"/>
        <w:rPr>
          <w:rFonts w:ascii="Arial" w:cs="Arial" w:eastAsia="Arial" w:hAnsi="Arial"/>
          <w:sz w:val="17"/>
          <w:szCs w:val="17"/>
          <w:color w:val="auto"/>
        </w:rPr>
      </w:pPr>
    </w:p>
    <w:p>
      <w:pPr>
        <w:ind w:left="660" w:right="240" w:hanging="652"/>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6"/>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12"/>
          </w:tcPr>
          <w:p>
            <w:pPr>
              <w:spacing w:after="0"/>
              <w:rPr>
                <w:sz w:val="20"/>
                <w:szCs w:val="20"/>
                <w:color w:val="auto"/>
              </w:rPr>
            </w:pPr>
            <w:r>
              <w:rPr>
                <w:rFonts w:ascii="Arial" w:cs="Arial" w:eastAsia="Arial" w:hAnsi="Arial"/>
                <w:sz w:val="18"/>
                <w:szCs w:val="18"/>
                <w:color w:val="auto"/>
              </w:rPr>
              <w:t>Description</w:t>
            </w:r>
          </w:p>
        </w:tc>
      </w:tr>
      <w:tr>
        <w:trPr>
          <w:trHeight w:val="27"/>
        </w:trPr>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37">
              <w:r>
                <w:rPr>
                  <w:rFonts w:ascii="Arial" w:cs="Arial" w:eastAsia="Arial" w:hAnsi="Arial"/>
                  <w:sz w:val="18"/>
                  <w:szCs w:val="18"/>
                  <w:color w:val="0563C1"/>
                </w:rPr>
                <w:t>3.</w:t>
              </w:r>
              <w:r>
                <w:rPr>
                  <w:rFonts w:ascii="Arial" w:cs="Arial" w:eastAsia="Arial" w:hAnsi="Arial"/>
                  <w:sz w:val="18"/>
                  <w:szCs w:val="18"/>
                  <w:u w:val="single" w:color="auto"/>
                  <w:color w:val="0563C1"/>
                </w:rPr>
                <w:t>1</w:t>
              </w:r>
            </w:hyperlink>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2"/>
            <w:shd w:val="clear" w:color="auto" w:fill="CCEEFF"/>
          </w:tcPr>
          <w:p>
            <w:pPr>
              <w:spacing w:after="0" w:line="162" w:lineRule="exact"/>
              <w:rPr>
                <w:rFonts w:ascii="Arial" w:cs="Arial" w:eastAsia="Arial" w:hAnsi="Arial"/>
                <w:sz w:val="18"/>
                <w:szCs w:val="18"/>
                <w:color w:val="0563C1"/>
                <w:w w:val="92"/>
              </w:rPr>
            </w:pPr>
            <w:hyperlink r:id="rId37">
              <w:r>
                <w:rPr>
                  <w:rFonts w:ascii="Arial" w:cs="Arial" w:eastAsia="Arial" w:hAnsi="Arial"/>
                  <w:sz w:val="18"/>
                  <w:szCs w:val="18"/>
                  <w:color w:val="0563C1"/>
                  <w:w w:val="92"/>
                </w:rPr>
                <w:t>Certificate of Incorporation of Tile Shop Holdings, Inc. (incorporated by reference to Exhibit 3.1 to the Company’s Registration Statement</w:t>
              </w:r>
            </w:hyperlink>
          </w:p>
        </w:tc>
      </w:tr>
      <w:tr>
        <w:trPr>
          <w:trHeight w:val="169"/>
        </w:trPr>
        <w:tc>
          <w:tcPr>
            <w:tcW w:w="240" w:type="dxa"/>
            <w:vAlign w:val="bottom"/>
            <w:tcBorders>
              <w:top w:val="single" w:sz="8" w:color="0563C1"/>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563C1"/>
            </w:tcBorders>
            <w:gridSpan w:val="12"/>
            <w:shd w:val="clear" w:color="auto" w:fill="CCEEFF"/>
          </w:tcPr>
          <w:p>
            <w:pPr>
              <w:spacing w:after="0" w:line="169" w:lineRule="exact"/>
              <w:rPr>
                <w:rFonts w:ascii="Arial" w:cs="Arial" w:eastAsia="Arial" w:hAnsi="Arial"/>
                <w:sz w:val="18"/>
                <w:szCs w:val="18"/>
                <w:color w:val="0563C1"/>
              </w:rPr>
            </w:pPr>
            <w:hyperlink r:id="rId37">
              <w:r>
                <w:rPr>
                  <w:rFonts w:ascii="Arial" w:cs="Arial" w:eastAsia="Arial" w:hAnsi="Arial"/>
                  <w:sz w:val="18"/>
                  <w:szCs w:val="18"/>
                  <w:color w:val="0563C1"/>
                </w:rPr>
                <w:t>on Form S-4 (Reg. No. 333-182482) filed with the Securities and Exchange Commission on July 2, 2012).</w:t>
              </w:r>
            </w:hyperlink>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Borders>
              <w:left w:val="single" w:sz="8" w:color="0563C1"/>
            </w:tcBorders>
            <w:shd w:val="clear" w:color="auto" w:fill="0563C1"/>
          </w:tcPr>
          <w:p>
            <w:pPr>
              <w:spacing w:after="0"/>
              <w:rPr>
                <w:sz w:val="2"/>
                <w:szCs w:val="2"/>
                <w:color w:val="auto"/>
              </w:rPr>
            </w:pPr>
          </w:p>
        </w:tc>
        <w:tc>
          <w:tcPr>
            <w:tcW w:w="360" w:type="dxa"/>
            <w:vAlign w:val="bottom"/>
            <w:shd w:val="clear" w:color="auto" w:fill="0563C1"/>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62"/>
        </w:trPr>
        <w:tc>
          <w:tcPr>
            <w:tcW w:w="420" w:type="dxa"/>
            <w:vAlign w:val="bottom"/>
            <w:gridSpan w:val="2"/>
          </w:tcPr>
          <w:p>
            <w:pPr>
              <w:spacing w:after="0" w:line="162" w:lineRule="exact"/>
              <w:rPr>
                <w:rFonts w:ascii="Arial" w:cs="Arial" w:eastAsia="Arial" w:hAnsi="Arial"/>
                <w:sz w:val="18"/>
                <w:szCs w:val="18"/>
                <w:color w:val="0563C1"/>
              </w:rPr>
            </w:pPr>
            <w:hyperlink r:id="rId38">
              <w:r>
                <w:rPr>
                  <w:rFonts w:ascii="Arial" w:cs="Arial" w:eastAsia="Arial" w:hAnsi="Arial"/>
                  <w:sz w:val="18"/>
                  <w:szCs w:val="18"/>
                  <w:color w:val="0563C1"/>
                </w:rPr>
                <w:t>3.</w:t>
              </w:r>
              <w:r>
                <w:rPr>
                  <w:rFonts w:ascii="Arial" w:cs="Arial" w:eastAsia="Arial" w:hAnsi="Arial"/>
                  <w:sz w:val="18"/>
                  <w:szCs w:val="18"/>
                  <w:u w:val="single" w:color="auto"/>
                  <w:color w:val="0563C1"/>
                </w:rPr>
                <w:t>2</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2"/>
          </w:tcPr>
          <w:p>
            <w:pPr>
              <w:spacing w:after="0" w:line="162" w:lineRule="exact"/>
              <w:rPr>
                <w:rFonts w:ascii="Arial" w:cs="Arial" w:eastAsia="Arial" w:hAnsi="Arial"/>
                <w:sz w:val="18"/>
                <w:szCs w:val="18"/>
                <w:color w:val="0563C1"/>
                <w:w w:val="94"/>
              </w:rPr>
            </w:pPr>
            <w:hyperlink r:id="rId38">
              <w:r>
                <w:rPr>
                  <w:rFonts w:ascii="Arial" w:cs="Arial" w:eastAsia="Arial" w:hAnsi="Arial"/>
                  <w:sz w:val="18"/>
                  <w:szCs w:val="18"/>
                  <w:color w:val="0563C1"/>
                  <w:w w:val="94"/>
                </w:rPr>
                <w:t>Certificate of Amendment to the Certificate of Incorporation of Tile Shop Holdings, Inc. (incorporated by reference to Exhibit 3.2 to the</w:t>
              </w:r>
            </w:hyperlink>
          </w:p>
        </w:tc>
      </w:tr>
      <w:tr>
        <w:trPr>
          <w:trHeight w:val="176"/>
        </w:trPr>
        <w:tc>
          <w:tcPr>
            <w:tcW w:w="240" w:type="dxa"/>
            <w:vAlign w:val="bottom"/>
            <w:tcBorders>
              <w:top w:val="single" w:sz="8" w:color="0563C1"/>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60" w:type="dxa"/>
            <w:vAlign w:val="bottom"/>
            <w:tcBorders>
              <w:top w:val="single" w:sz="8" w:color="0563C1"/>
              <w:bottom w:val="single" w:sz="8" w:color="0563C1"/>
            </w:tcBorders>
            <w:gridSpan w:val="6"/>
          </w:tcPr>
          <w:p>
            <w:pPr>
              <w:spacing w:after="0" w:line="169" w:lineRule="exact"/>
              <w:rPr>
                <w:rFonts w:ascii="Arial" w:cs="Arial" w:eastAsia="Arial" w:hAnsi="Arial"/>
                <w:sz w:val="18"/>
                <w:szCs w:val="18"/>
                <w:color w:val="0563C1"/>
                <w:w w:val="91"/>
              </w:rPr>
            </w:pPr>
            <w:hyperlink r:id="rId38">
              <w:r>
                <w:rPr>
                  <w:rFonts w:ascii="Arial" w:cs="Arial" w:eastAsia="Arial" w:hAnsi="Arial"/>
                  <w:sz w:val="18"/>
                  <w:szCs w:val="18"/>
                  <w:color w:val="0563C1"/>
                  <w:w w:val="91"/>
                </w:rPr>
                <w:t>Company’s Current Report on Form 8-K filed with the Securities and Exchange Commission on July 21, 2021).</w:t>
              </w:r>
            </w:hyperlink>
          </w:p>
        </w:tc>
        <w:tc>
          <w:tcPr>
            <w:tcW w:w="1780" w:type="dxa"/>
            <w:vAlign w:val="bottom"/>
            <w:tcBorders>
              <w:top w:val="single" w:sz="8" w:color="0563C1"/>
            </w:tcBorders>
            <w:gridSpan w:val="5"/>
          </w:tcPr>
          <w:p>
            <w:pPr>
              <w:spacing w:after="0"/>
              <w:rPr>
                <w:sz w:val="15"/>
                <w:szCs w:val="15"/>
                <w:color w:val="auto"/>
              </w:rPr>
            </w:pPr>
          </w:p>
        </w:tc>
        <w:tc>
          <w:tcPr>
            <w:tcW w:w="180" w:type="dxa"/>
            <w:vAlign w:val="bottom"/>
          </w:tcPr>
          <w:p>
            <w:pPr>
              <w:spacing w:after="0"/>
              <w:rPr>
                <w:sz w:val="15"/>
                <w:szCs w:val="15"/>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39">
              <w:r>
                <w:rPr>
                  <w:rFonts w:ascii="Arial" w:cs="Arial" w:eastAsia="Arial" w:hAnsi="Arial"/>
                  <w:sz w:val="18"/>
                  <w:szCs w:val="18"/>
                  <w:color w:val="0563C1"/>
                </w:rPr>
                <w:t>3.</w:t>
              </w:r>
              <w:r>
                <w:rPr>
                  <w:rFonts w:ascii="Arial" w:cs="Arial" w:eastAsia="Arial" w:hAnsi="Arial"/>
                  <w:sz w:val="18"/>
                  <w:szCs w:val="18"/>
                  <w:u w:val="single" w:color="auto"/>
                  <w:color w:val="0563C1"/>
                </w:rPr>
                <w:t>3</w:t>
              </w:r>
            </w:hyperlink>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2"/>
            <w:shd w:val="clear" w:color="auto" w:fill="CCEEFF"/>
          </w:tcPr>
          <w:p>
            <w:pPr>
              <w:spacing w:after="0" w:line="162" w:lineRule="exact"/>
              <w:rPr>
                <w:rFonts w:ascii="Arial" w:cs="Arial" w:eastAsia="Arial" w:hAnsi="Arial"/>
                <w:sz w:val="18"/>
                <w:szCs w:val="18"/>
                <w:color w:val="0563C1"/>
                <w:w w:val="95"/>
              </w:rPr>
            </w:pPr>
            <w:hyperlink r:id="rId39">
              <w:r>
                <w:rPr>
                  <w:rFonts w:ascii="Arial" w:cs="Arial" w:eastAsia="Arial" w:hAnsi="Arial"/>
                  <w:sz w:val="18"/>
                  <w:szCs w:val="18"/>
                  <w:color w:val="0563C1"/>
                  <w:w w:val="95"/>
                </w:rPr>
                <w:t>By-Laws of Tile Shop Holdings, Inc. (incorporated by reference to Exhibit 3.2 to the Company’s Registration Statement on Form S-4</w:t>
              </w:r>
            </w:hyperlink>
          </w:p>
        </w:tc>
      </w:tr>
      <w:tr>
        <w:trPr>
          <w:trHeight w:val="176"/>
        </w:trPr>
        <w:tc>
          <w:tcPr>
            <w:tcW w:w="240" w:type="dxa"/>
            <w:vAlign w:val="bottom"/>
            <w:tcBorders>
              <w:top w:val="single" w:sz="8" w:color="0563C1"/>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720" w:type="dxa"/>
            <w:vAlign w:val="bottom"/>
            <w:tcBorders>
              <w:top w:val="single" w:sz="8" w:color="0563C1"/>
              <w:bottom w:val="single" w:sz="8" w:color="0563C1"/>
            </w:tcBorders>
            <w:gridSpan w:val="2"/>
            <w:shd w:val="clear" w:color="auto" w:fill="CCEEFF"/>
          </w:tcPr>
          <w:p>
            <w:pPr>
              <w:spacing w:after="0" w:line="169" w:lineRule="exact"/>
              <w:rPr>
                <w:rFonts w:ascii="Arial" w:cs="Arial" w:eastAsia="Arial" w:hAnsi="Arial"/>
                <w:sz w:val="18"/>
                <w:szCs w:val="18"/>
                <w:color w:val="0563C1"/>
                <w:w w:val="91"/>
              </w:rPr>
            </w:pPr>
            <w:hyperlink r:id="rId39">
              <w:r>
                <w:rPr>
                  <w:rFonts w:ascii="Arial" w:cs="Arial" w:eastAsia="Arial" w:hAnsi="Arial"/>
                  <w:sz w:val="18"/>
                  <w:szCs w:val="18"/>
                  <w:color w:val="0563C1"/>
                  <w:w w:val="91"/>
                </w:rPr>
                <w:t>(Reg. No. 333-182482) filed with the Securities and Exchange Commission on July 2, 2012).</w:t>
              </w:r>
            </w:hyperlink>
          </w:p>
        </w:tc>
        <w:tc>
          <w:tcPr>
            <w:tcW w:w="2940" w:type="dxa"/>
            <w:vAlign w:val="bottom"/>
            <w:tcBorders>
              <w:top w:val="single" w:sz="8" w:color="0563C1"/>
              <w:bottom w:val="single" w:sz="8" w:color="CCEEFF"/>
            </w:tcBorders>
            <w:gridSpan w:val="8"/>
            <w:shd w:val="clear" w:color="auto" w:fill="CCEEFF"/>
          </w:tcPr>
          <w:p>
            <w:pPr>
              <w:spacing w:after="0"/>
              <w:rPr>
                <w:sz w:val="15"/>
                <w:szCs w:val="15"/>
                <w:color w:val="auto"/>
              </w:rPr>
            </w:pPr>
          </w:p>
        </w:tc>
        <w:tc>
          <w:tcPr>
            <w:tcW w:w="360" w:type="dxa"/>
            <w:vAlign w:val="bottom"/>
            <w:tcBorders>
              <w:top w:val="single" w:sz="8" w:color="CCEEFF"/>
              <w:bottom w:val="single" w:sz="8" w:color="CCEEFF"/>
            </w:tcBorders>
            <w:gridSpan w:val="2"/>
            <w:shd w:val="clear" w:color="auto" w:fill="CCEEFF"/>
          </w:tcPr>
          <w:p>
            <w:pPr>
              <w:spacing w:after="0"/>
              <w:rPr>
                <w:sz w:val="15"/>
                <w:szCs w:val="15"/>
                <w:color w:val="auto"/>
              </w:rPr>
            </w:pPr>
          </w:p>
        </w:tc>
      </w:tr>
      <w:tr>
        <w:trPr>
          <w:trHeight w:val="162"/>
        </w:trPr>
        <w:tc>
          <w:tcPr>
            <w:tcW w:w="500" w:type="dxa"/>
            <w:vAlign w:val="bottom"/>
            <w:gridSpan w:val="3"/>
          </w:tcPr>
          <w:p>
            <w:pPr>
              <w:spacing w:after="0" w:line="162" w:lineRule="exact"/>
              <w:rPr>
                <w:rFonts w:ascii="Arial" w:cs="Arial" w:eastAsia="Arial" w:hAnsi="Arial"/>
                <w:sz w:val="18"/>
                <w:szCs w:val="18"/>
                <w:color w:val="0563C1"/>
              </w:rPr>
            </w:pPr>
            <w:hyperlink r:id="rId40">
              <w:r>
                <w:rPr>
                  <w:rFonts w:ascii="Arial" w:cs="Arial" w:eastAsia="Arial" w:hAnsi="Arial"/>
                  <w:sz w:val="18"/>
                  <w:szCs w:val="18"/>
                  <w:color w:val="0563C1"/>
                </w:rPr>
                <w:t>10.</w:t>
              </w:r>
              <w:r>
                <w:rPr>
                  <w:rFonts w:ascii="Arial" w:cs="Arial" w:eastAsia="Arial" w:hAnsi="Arial"/>
                  <w:sz w:val="18"/>
                  <w:szCs w:val="18"/>
                  <w:u w:val="single" w:color="auto"/>
                  <w:color w:val="0563C1"/>
                </w:rPr>
                <w:t>1*</w:t>
              </w:r>
            </w:hyperlink>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2"/>
          </w:tcPr>
          <w:p>
            <w:pPr>
              <w:spacing w:after="0" w:line="162" w:lineRule="exact"/>
              <w:rPr>
                <w:rFonts w:ascii="Arial" w:cs="Arial" w:eastAsia="Arial" w:hAnsi="Arial"/>
                <w:sz w:val="18"/>
                <w:szCs w:val="18"/>
                <w:color w:val="0563C1"/>
                <w:w w:val="95"/>
              </w:rPr>
            </w:pPr>
            <w:hyperlink r:id="rId41">
              <w:r>
                <w:rPr>
                  <w:rFonts w:ascii="Arial" w:cs="Arial" w:eastAsia="Arial" w:hAnsi="Arial"/>
                  <w:sz w:val="18"/>
                  <w:szCs w:val="18"/>
                  <w:color w:val="0563C1"/>
                  <w:w w:val="95"/>
                </w:rPr>
                <w:t>Employment Agreement, effective as of January 3, 2022, by and between Tile Shop Holdings, Inc. and Karla Lunan (incorporated by</w:t>
              </w:r>
            </w:hyperlink>
          </w:p>
        </w:tc>
      </w:tr>
      <w:tr>
        <w:trPr>
          <w:trHeight w:val="176"/>
        </w:trPr>
        <w:tc>
          <w:tcPr>
            <w:tcW w:w="240" w:type="dxa"/>
            <w:vAlign w:val="bottom"/>
            <w:tcBorders>
              <w:top w:val="single" w:sz="8" w:color="0563C1"/>
            </w:tcBorders>
          </w:tcPr>
          <w:p>
            <w:pPr>
              <w:spacing w:after="0"/>
              <w:rPr>
                <w:sz w:val="15"/>
                <w:szCs w:val="15"/>
                <w:color w:val="auto"/>
              </w:rPr>
            </w:pPr>
          </w:p>
        </w:tc>
        <w:tc>
          <w:tcPr>
            <w:tcW w:w="180" w:type="dxa"/>
            <w:vAlign w:val="bottom"/>
            <w:tcBorders>
              <w:top w:val="single" w:sz="8" w:color="0563C1"/>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20" w:type="dxa"/>
            <w:vAlign w:val="bottom"/>
            <w:tcBorders>
              <w:top w:val="single" w:sz="8" w:color="0563C1"/>
              <w:bottom w:val="single" w:sz="8" w:color="0563C1"/>
            </w:tcBorders>
            <w:gridSpan w:val="3"/>
          </w:tcPr>
          <w:p>
            <w:pPr>
              <w:spacing w:after="0" w:line="169" w:lineRule="exact"/>
              <w:rPr>
                <w:rFonts w:ascii="Arial" w:cs="Arial" w:eastAsia="Arial" w:hAnsi="Arial"/>
                <w:sz w:val="18"/>
                <w:szCs w:val="18"/>
                <w:color w:val="0563C1"/>
                <w:w w:val="91"/>
              </w:rPr>
            </w:pPr>
            <w:hyperlink r:id="rId41">
              <w:r>
                <w:rPr>
                  <w:rFonts w:ascii="Arial" w:cs="Arial" w:eastAsia="Arial" w:hAnsi="Arial"/>
                  <w:sz w:val="18"/>
                  <w:szCs w:val="18"/>
                  <w:color w:val="0563C1"/>
                  <w:w w:val="91"/>
                </w:rPr>
                <w:t>reference to Exhibit 10.1 to the Registrant’s Current Report on Form 8-K filed December 23, 2021).</w:t>
              </w:r>
            </w:hyperlink>
          </w:p>
        </w:tc>
        <w:tc>
          <w:tcPr>
            <w:tcW w:w="2420" w:type="dxa"/>
            <w:vAlign w:val="bottom"/>
            <w:tcBorders>
              <w:top w:val="single" w:sz="8" w:color="0563C1"/>
            </w:tcBorders>
            <w:gridSpan w:val="6"/>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162"/>
        </w:trPr>
        <w:tc>
          <w:tcPr>
            <w:tcW w:w="500" w:type="dxa"/>
            <w:vAlign w:val="bottom"/>
            <w:gridSpan w:val="3"/>
            <w:shd w:val="clear" w:color="auto" w:fill="CCEEFF"/>
          </w:tcPr>
          <w:p>
            <w:pPr>
              <w:spacing w:after="0" w:line="162" w:lineRule="exact"/>
              <w:rPr>
                <w:rFonts w:ascii="Arial" w:cs="Arial" w:eastAsia="Arial" w:hAnsi="Arial"/>
                <w:sz w:val="18"/>
                <w:szCs w:val="18"/>
                <w:color w:val="0563C1"/>
              </w:rPr>
            </w:pPr>
            <w:hyperlink r:id="rId42">
              <w:r>
                <w:rPr>
                  <w:rFonts w:ascii="Arial" w:cs="Arial" w:eastAsia="Arial" w:hAnsi="Arial"/>
                  <w:sz w:val="18"/>
                  <w:szCs w:val="18"/>
                  <w:color w:val="0563C1"/>
                </w:rPr>
                <w:t>10.</w:t>
              </w:r>
              <w:r>
                <w:rPr>
                  <w:rFonts w:ascii="Arial" w:cs="Arial" w:eastAsia="Arial" w:hAnsi="Arial"/>
                  <w:sz w:val="18"/>
                  <w:szCs w:val="18"/>
                  <w:u w:val="single" w:color="auto"/>
                  <w:color w:val="0563C1"/>
                </w:rPr>
                <w:t>2*</w:t>
              </w:r>
            </w:hyperlink>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2"/>
            <w:shd w:val="clear" w:color="auto" w:fill="CCEEFF"/>
          </w:tcPr>
          <w:p>
            <w:pPr>
              <w:spacing w:after="0" w:line="162" w:lineRule="exact"/>
              <w:rPr>
                <w:rFonts w:ascii="Arial" w:cs="Arial" w:eastAsia="Arial" w:hAnsi="Arial"/>
                <w:sz w:val="18"/>
                <w:szCs w:val="18"/>
                <w:color w:val="0563C1"/>
                <w:w w:val="97"/>
              </w:rPr>
            </w:pPr>
            <w:hyperlink r:id="rId42">
              <w:r>
                <w:rPr>
                  <w:rFonts w:ascii="Arial" w:cs="Arial" w:eastAsia="Arial" w:hAnsi="Arial"/>
                  <w:sz w:val="18"/>
                  <w:szCs w:val="18"/>
                  <w:color w:val="0563C1"/>
                  <w:w w:val="97"/>
                </w:rPr>
                <w:t>Waiver of Claims and General Release, dated December 22, 2021, by and between Tile Shop Holdings, Inc. and Nancy DiMattia</w:t>
              </w:r>
            </w:hyperlink>
          </w:p>
        </w:tc>
      </w:tr>
      <w:tr>
        <w:trPr>
          <w:trHeight w:val="176"/>
        </w:trPr>
        <w:tc>
          <w:tcPr>
            <w:tcW w:w="240" w:type="dxa"/>
            <w:vAlign w:val="bottom"/>
            <w:tcBorders>
              <w:top w:val="single" w:sz="8" w:color="0563C1"/>
              <w:bottom w:val="single" w:sz="8" w:color="CCEEFF"/>
            </w:tcBorders>
            <w:shd w:val="clear" w:color="auto" w:fill="CCEEFF"/>
          </w:tcPr>
          <w:p>
            <w:pPr>
              <w:spacing w:after="0"/>
              <w:rPr>
                <w:sz w:val="15"/>
                <w:szCs w:val="15"/>
                <w:color w:val="auto"/>
              </w:rPr>
            </w:pPr>
          </w:p>
        </w:tc>
        <w:tc>
          <w:tcPr>
            <w:tcW w:w="180" w:type="dxa"/>
            <w:vAlign w:val="bottom"/>
            <w:tcBorders>
              <w:top w:val="single" w:sz="8" w:color="0563C1"/>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8480" w:type="dxa"/>
            <w:vAlign w:val="bottom"/>
            <w:tcBorders>
              <w:top w:val="single" w:sz="8" w:color="0563C1"/>
              <w:bottom w:val="single" w:sz="8" w:color="0563C1"/>
            </w:tcBorders>
            <w:gridSpan w:val="7"/>
            <w:shd w:val="clear" w:color="auto" w:fill="CCEEFF"/>
          </w:tcPr>
          <w:p>
            <w:pPr>
              <w:spacing w:after="0" w:line="169" w:lineRule="exact"/>
              <w:rPr>
                <w:rFonts w:ascii="Arial" w:cs="Arial" w:eastAsia="Arial" w:hAnsi="Arial"/>
                <w:sz w:val="18"/>
                <w:szCs w:val="18"/>
                <w:color w:val="0563C1"/>
                <w:w w:val="91"/>
              </w:rPr>
            </w:pPr>
            <w:hyperlink r:id="rId42">
              <w:r>
                <w:rPr>
                  <w:rFonts w:ascii="Arial" w:cs="Arial" w:eastAsia="Arial" w:hAnsi="Arial"/>
                  <w:sz w:val="18"/>
                  <w:szCs w:val="18"/>
                  <w:color w:val="0563C1"/>
                  <w:w w:val="91"/>
                </w:rPr>
                <w:t>(incorporated by reference to Exhibit 10.2 to the Registrant’s Current Report on Form 8-K filed December 23, 2021).</w:t>
              </w:r>
            </w:hyperlink>
          </w:p>
        </w:tc>
        <w:tc>
          <w:tcPr>
            <w:tcW w:w="840" w:type="dxa"/>
            <w:vAlign w:val="bottom"/>
            <w:tcBorders>
              <w:top w:val="single" w:sz="8" w:color="0563C1"/>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gridSpan w:val="4"/>
            <w:shd w:val="clear" w:color="auto" w:fill="CCEEFF"/>
          </w:tcPr>
          <w:p>
            <w:pPr>
              <w:spacing w:after="0"/>
              <w:rPr>
                <w:sz w:val="15"/>
                <w:szCs w:val="15"/>
                <w:color w:val="auto"/>
              </w:rPr>
            </w:pPr>
          </w:p>
        </w:tc>
      </w:tr>
      <w:tr>
        <w:trPr>
          <w:trHeight w:val="162"/>
        </w:trPr>
        <w:tc>
          <w:tcPr>
            <w:tcW w:w="600" w:type="dxa"/>
            <w:vAlign w:val="bottom"/>
            <w:gridSpan w:val="4"/>
          </w:tcPr>
          <w:p>
            <w:pPr>
              <w:spacing w:after="0" w:line="162" w:lineRule="exact"/>
              <w:rPr>
                <w:rFonts w:ascii="Arial" w:cs="Arial" w:eastAsia="Arial" w:hAnsi="Arial"/>
                <w:sz w:val="18"/>
                <w:szCs w:val="18"/>
                <w:color w:val="0563C1"/>
              </w:rPr>
            </w:pPr>
            <w:hyperlink w:anchor="page25">
              <w:r>
                <w:rPr>
                  <w:rFonts w:ascii="Arial" w:cs="Arial" w:eastAsia="Arial" w:hAnsi="Arial"/>
                  <w:sz w:val="18"/>
                  <w:szCs w:val="18"/>
                  <w:color w:val="0563C1"/>
                </w:rPr>
                <w:t>31.</w:t>
              </w:r>
              <w:r>
                <w:rPr>
                  <w:rFonts w:ascii="Arial" w:cs="Arial" w:eastAsia="Arial" w:hAnsi="Arial"/>
                  <w:sz w:val="18"/>
                  <w:szCs w:val="18"/>
                  <w:u w:val="single" w:color="auto"/>
                  <w:color w:val="0563C1"/>
                </w:rPr>
                <w:t>1**</w:t>
              </w:r>
            </w:hyperlink>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2"/>
          </w:tcPr>
          <w:p>
            <w:pPr>
              <w:spacing w:after="0" w:line="162" w:lineRule="exact"/>
              <w:rPr>
                <w:rFonts w:ascii="Arial" w:cs="Arial" w:eastAsia="Arial" w:hAnsi="Arial"/>
                <w:sz w:val="18"/>
                <w:szCs w:val="18"/>
                <w:color w:val="0563C1"/>
              </w:rPr>
            </w:pPr>
            <w:hyperlink w:anchor="page25">
              <w:r>
                <w:rPr>
                  <w:rFonts w:ascii="Arial" w:cs="Arial" w:eastAsia="Arial" w:hAnsi="Arial"/>
                  <w:sz w:val="18"/>
                  <w:szCs w:val="18"/>
                  <w:color w:val="0563C1"/>
                </w:rPr>
                <w:t>Certification of Chief Executive Officer Pursuant to Section 302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600" w:type="dxa"/>
            <w:vAlign w:val="bottom"/>
            <w:gridSpan w:val="4"/>
            <w:shd w:val="clear" w:color="auto" w:fill="CCEEFF"/>
          </w:tcPr>
          <w:p>
            <w:pPr>
              <w:spacing w:after="0" w:line="162" w:lineRule="exact"/>
              <w:rPr>
                <w:rFonts w:ascii="Arial" w:cs="Arial" w:eastAsia="Arial" w:hAnsi="Arial"/>
                <w:sz w:val="18"/>
                <w:szCs w:val="18"/>
                <w:color w:val="0563C1"/>
              </w:rPr>
            </w:pPr>
            <w:hyperlink w:anchor="page26">
              <w:r>
                <w:rPr>
                  <w:rFonts w:ascii="Arial" w:cs="Arial" w:eastAsia="Arial" w:hAnsi="Arial"/>
                  <w:sz w:val="18"/>
                  <w:szCs w:val="18"/>
                  <w:color w:val="0563C1"/>
                </w:rPr>
                <w:t>31.</w:t>
              </w:r>
              <w:r>
                <w:rPr>
                  <w:rFonts w:ascii="Arial" w:cs="Arial" w:eastAsia="Arial" w:hAnsi="Arial"/>
                  <w:sz w:val="18"/>
                  <w:szCs w:val="18"/>
                  <w:u w:val="single" w:color="auto"/>
                  <w:color w:val="0563C1"/>
                </w:rPr>
                <w:t>2**</w:t>
              </w:r>
            </w:hyperlink>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2"/>
            <w:shd w:val="clear" w:color="auto" w:fill="CCEEFF"/>
          </w:tcPr>
          <w:p>
            <w:pPr>
              <w:spacing w:after="0" w:line="162" w:lineRule="exact"/>
              <w:rPr>
                <w:rFonts w:ascii="Arial" w:cs="Arial" w:eastAsia="Arial" w:hAnsi="Arial"/>
                <w:sz w:val="18"/>
                <w:szCs w:val="18"/>
                <w:color w:val="0563C1"/>
              </w:rPr>
            </w:pPr>
            <w:hyperlink w:anchor="page26">
              <w:r>
                <w:rPr>
                  <w:rFonts w:ascii="Arial" w:cs="Arial" w:eastAsia="Arial" w:hAnsi="Arial"/>
                  <w:sz w:val="18"/>
                  <w:szCs w:val="18"/>
                  <w:color w:val="0563C1"/>
                </w:rPr>
                <w:t>Certification of Chief Financial Officer Pursuant to Section 302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500" w:type="dxa"/>
            <w:vAlign w:val="bottom"/>
            <w:tcBorders>
              <w:right w:val="single" w:sz="8" w:color="CCEEFF"/>
            </w:tcBorders>
            <w:shd w:val="clear" w:color="auto" w:fill="0563C1"/>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69"/>
        </w:trPr>
        <w:tc>
          <w:tcPr>
            <w:tcW w:w="600" w:type="dxa"/>
            <w:vAlign w:val="bottom"/>
            <w:tcBorders>
              <w:bottom w:val="single" w:sz="8" w:color="0563C1"/>
            </w:tcBorders>
            <w:gridSpan w:val="4"/>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32.</w:t>
              </w:r>
              <w:r>
                <w:rPr>
                  <w:rFonts w:ascii="Arial" w:cs="Arial" w:eastAsia="Arial" w:hAnsi="Arial"/>
                  <w:sz w:val="18"/>
                  <w:szCs w:val="18"/>
                  <w:u w:val="single" w:color="auto"/>
                  <w:color w:val="0563C1"/>
                </w:rPr>
                <w:t>1***</w:t>
              </w:r>
            </w:hyperlink>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300" w:type="dxa"/>
            <w:vAlign w:val="bottom"/>
            <w:tcBorders>
              <w:bottom w:val="single" w:sz="8" w:color="0563C1"/>
            </w:tcBorders>
            <w:gridSpan w:val="4"/>
          </w:tcPr>
          <w:p>
            <w:pPr>
              <w:spacing w:after="0" w:line="162" w:lineRule="exact"/>
              <w:rPr>
                <w:rFonts w:ascii="Arial" w:cs="Arial" w:eastAsia="Arial" w:hAnsi="Arial"/>
                <w:sz w:val="18"/>
                <w:szCs w:val="18"/>
                <w:color w:val="0563C1"/>
                <w:w w:val="91"/>
              </w:rPr>
            </w:pPr>
            <w:hyperlink w:anchor="page27">
              <w:r>
                <w:rPr>
                  <w:rFonts w:ascii="Arial" w:cs="Arial" w:eastAsia="Arial" w:hAnsi="Arial"/>
                  <w:sz w:val="18"/>
                  <w:szCs w:val="18"/>
                  <w:color w:val="0563C1"/>
                  <w:w w:val="91"/>
                </w:rPr>
                <w:t>Certifications of Chief Executive Officer Pursuant to Section 906 of the Sarbanes Oxley Act of 2002.</w:t>
              </w:r>
            </w:hyperlink>
          </w:p>
        </w:tc>
        <w:tc>
          <w:tcPr>
            <w:tcW w:w="2720" w:type="dxa"/>
            <w:vAlign w:val="bottom"/>
            <w:gridSpan w:val="8"/>
          </w:tcPr>
          <w:p>
            <w:pPr>
              <w:spacing w:after="0"/>
              <w:rPr>
                <w:sz w:val="14"/>
                <w:szCs w:val="14"/>
                <w:color w:val="auto"/>
              </w:rPr>
            </w:pPr>
          </w:p>
        </w:tc>
      </w:tr>
      <w:tr>
        <w:trPr>
          <w:trHeight w:val="162"/>
        </w:trPr>
        <w:tc>
          <w:tcPr>
            <w:tcW w:w="600" w:type="dxa"/>
            <w:vAlign w:val="bottom"/>
            <w:gridSpan w:val="4"/>
            <w:shd w:val="clear" w:color="auto" w:fill="CCEEFF"/>
          </w:tcPr>
          <w:p>
            <w:pPr>
              <w:spacing w:after="0" w:line="162" w:lineRule="exact"/>
              <w:rPr>
                <w:rFonts w:ascii="Arial" w:cs="Arial" w:eastAsia="Arial" w:hAnsi="Arial"/>
                <w:sz w:val="18"/>
                <w:szCs w:val="18"/>
                <w:color w:val="0563C1"/>
              </w:rPr>
            </w:pPr>
            <w:hyperlink w:anchor="page28">
              <w:r>
                <w:rPr>
                  <w:rFonts w:ascii="Arial" w:cs="Arial" w:eastAsia="Arial" w:hAnsi="Arial"/>
                  <w:sz w:val="18"/>
                  <w:szCs w:val="18"/>
                  <w:color w:val="0563C1"/>
                </w:rPr>
                <w:t>32.</w:t>
              </w:r>
              <w:r>
                <w:rPr>
                  <w:rFonts w:ascii="Arial" w:cs="Arial" w:eastAsia="Arial" w:hAnsi="Arial"/>
                  <w:sz w:val="18"/>
                  <w:szCs w:val="18"/>
                  <w:u w:val="single" w:color="auto"/>
                  <w:color w:val="0563C1"/>
                </w:rPr>
                <w:t>2***</w:t>
              </w:r>
            </w:hyperlink>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2"/>
            <w:shd w:val="clear" w:color="auto" w:fill="CCEEFF"/>
          </w:tcPr>
          <w:p>
            <w:pPr>
              <w:spacing w:after="0" w:line="162" w:lineRule="exact"/>
              <w:rPr>
                <w:rFonts w:ascii="Arial" w:cs="Arial" w:eastAsia="Arial" w:hAnsi="Arial"/>
                <w:sz w:val="18"/>
                <w:szCs w:val="18"/>
                <w:color w:val="0563C1"/>
              </w:rPr>
            </w:pPr>
            <w:hyperlink w:anchor="page28">
              <w:r>
                <w:rPr>
                  <w:rFonts w:ascii="Arial" w:cs="Arial" w:eastAsia="Arial" w:hAnsi="Arial"/>
                  <w:sz w:val="18"/>
                  <w:szCs w:val="18"/>
                  <w:color w:val="0563C1"/>
                </w:rPr>
                <w:t>Certifications of Chief Financial Officer Pursuant to Section 906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shd w:val="clear" w:color="auto" w:fill="0563C1"/>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Borders>
              <w:left w:val="single" w:sz="8" w:color="0563C1"/>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61"/>
        </w:trPr>
        <w:tc>
          <w:tcPr>
            <w:tcW w:w="500" w:type="dxa"/>
            <w:vAlign w:val="bottom"/>
            <w:gridSpan w:val="3"/>
          </w:tcPr>
          <w:p>
            <w:pPr>
              <w:spacing w:after="0" w:line="161"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2"/>
          </w:tcPr>
          <w:p>
            <w:pPr>
              <w:spacing w:after="0" w:line="161" w:lineRule="exact"/>
              <w:rPr>
                <w:sz w:val="20"/>
                <w:szCs w:val="20"/>
                <w:color w:val="auto"/>
              </w:rPr>
            </w:pPr>
            <w:r>
              <w:rPr>
                <w:rFonts w:ascii="Arial" w:cs="Arial" w:eastAsia="Arial" w:hAnsi="Arial"/>
                <w:sz w:val="18"/>
                <w:szCs w:val="18"/>
                <w:color w:val="auto"/>
                <w:w w:val="92"/>
              </w:rPr>
              <w:t>The following financial statements from the Quarterly Report on Form 10-Q for the quarter ended March 31, 2022 are formatted in iXBRL</w:t>
            </w:r>
          </w:p>
        </w:tc>
      </w:tr>
      <w:tr>
        <w:trPr>
          <w:trHeight w:val="189"/>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20" w:type="dxa"/>
            <w:vAlign w:val="bottom"/>
            <w:gridSpan w:val="12"/>
          </w:tcPr>
          <w:p>
            <w:pPr>
              <w:spacing w:after="0" w:line="189" w:lineRule="exact"/>
              <w:rPr>
                <w:sz w:val="20"/>
                <w:szCs w:val="20"/>
                <w:color w:val="auto"/>
              </w:rPr>
            </w:pPr>
            <w:r>
              <w:rPr>
                <w:rFonts w:ascii="Arial" w:cs="Arial" w:eastAsia="Arial" w:hAnsi="Arial"/>
                <w:sz w:val="18"/>
                <w:szCs w:val="18"/>
                <w:color w:val="auto"/>
                <w:w w:val="96"/>
              </w:rPr>
              <w:t>(Inline eXtensible Business Reporting Language): (i) Consolidated Balance Sheets, (ii) Consolidated Statements of Operations, (iii)</w:t>
            </w:r>
          </w:p>
        </w:tc>
      </w:tr>
      <w:tr>
        <w:trPr>
          <w:trHeight w:val="189"/>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20" w:type="dxa"/>
            <w:vAlign w:val="bottom"/>
            <w:gridSpan w:val="12"/>
          </w:tcPr>
          <w:p>
            <w:pPr>
              <w:spacing w:after="0" w:line="189" w:lineRule="exact"/>
              <w:rPr>
                <w:sz w:val="20"/>
                <w:szCs w:val="20"/>
                <w:color w:val="auto"/>
              </w:rPr>
            </w:pPr>
            <w:r>
              <w:rPr>
                <w:rFonts w:ascii="Arial" w:cs="Arial" w:eastAsia="Arial" w:hAnsi="Arial"/>
                <w:sz w:val="18"/>
                <w:szCs w:val="18"/>
                <w:color w:val="auto"/>
                <w:w w:val="90"/>
              </w:rPr>
              <w:t>Consolidated Statements of Comprehensive Income, (iv) Consolidated Statements of Stockholders’ Equity, (v) Consolidated Statements of</w:t>
            </w:r>
          </w:p>
        </w:tc>
      </w:tr>
      <w:tr>
        <w:trPr>
          <w:trHeight w:val="217"/>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12"/>
          </w:tcPr>
          <w:p>
            <w:pPr>
              <w:spacing w:after="0"/>
              <w:rPr>
                <w:sz w:val="20"/>
                <w:szCs w:val="20"/>
                <w:color w:val="auto"/>
              </w:rPr>
            </w:pPr>
            <w:r>
              <w:rPr>
                <w:rFonts w:ascii="Arial" w:cs="Arial" w:eastAsia="Arial" w:hAnsi="Arial"/>
                <w:sz w:val="18"/>
                <w:szCs w:val="18"/>
                <w:color w:val="auto"/>
              </w:rPr>
              <w:t>Cash Flows, and (vi) the Notes to Consolidated Financial Statements.</w:t>
            </w:r>
          </w:p>
        </w:tc>
      </w:tr>
      <w:tr>
        <w:trPr>
          <w:trHeight w:val="189"/>
        </w:trPr>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20" w:type="dxa"/>
            <w:vAlign w:val="bottom"/>
            <w:gridSpan w:val="12"/>
            <w:shd w:val="clear" w:color="auto" w:fill="CCEEFF"/>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61" w:lineRule="exact"/>
        <w:rPr>
          <w:sz w:val="20"/>
          <w:szCs w:val="20"/>
          <w:color w:val="auto"/>
        </w:rPr>
      </w:pPr>
    </w:p>
    <w:p>
      <w:pPr>
        <w:ind w:right="7560" w:firstLine="8"/>
        <w:spacing w:after="0" w:line="228" w:lineRule="auto"/>
        <w:tabs>
          <w:tab w:leader="none" w:pos="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6400" w:type="dxa"/>
            <w:vAlign w:val="bottom"/>
            <w:gridSpan w:val="2"/>
          </w:tcPr>
          <w:p>
            <w:pPr>
              <w:ind w:left="2160"/>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480" w:type="dxa"/>
            <w:vAlign w:val="bottom"/>
          </w:tcPr>
          <w:p>
            <w:pPr>
              <w:spacing w:after="0"/>
              <w:rPr>
                <w:sz w:val="20"/>
                <w:szCs w:val="20"/>
                <w:color w:val="auto"/>
              </w:rPr>
            </w:pPr>
            <w:r>
              <w:rPr>
                <w:rFonts w:ascii="Arial" w:cs="Arial" w:eastAsia="Arial" w:hAnsi="Arial"/>
                <w:sz w:val="18"/>
                <w:szCs w:val="18"/>
                <w:color w:val="auto"/>
              </w:rPr>
              <w:t>Dated: May 6, 2022</w:t>
            </w:r>
          </w:p>
        </w:tc>
        <w:tc>
          <w:tcPr>
            <w:tcW w:w="6400" w:type="dxa"/>
            <w:vAlign w:val="bottom"/>
            <w:gridSpan w:val="2"/>
          </w:tcPr>
          <w:p>
            <w:pPr>
              <w:ind w:left="2160"/>
              <w:spacing w:after="0"/>
              <w:rPr>
                <w:sz w:val="20"/>
                <w:szCs w:val="20"/>
                <w:color w:val="auto"/>
              </w:rPr>
            </w:pPr>
            <w:r>
              <w:rPr>
                <w:rFonts w:ascii="Arial" w:cs="Arial" w:eastAsia="Arial" w:hAnsi="Arial"/>
                <w:sz w:val="18"/>
                <w:szCs w:val="18"/>
                <w:color w:val="auto"/>
              </w:rPr>
              <w:t>By: /s/ CABELL H. LOLMAUGH</w:t>
            </w:r>
          </w:p>
        </w:tc>
      </w:tr>
      <w:tr>
        <w:trPr>
          <w:trHeight w:val="155"/>
        </w:trPr>
        <w:tc>
          <w:tcPr>
            <w:tcW w:w="3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Cabell H. Lolmaugh</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480" w:type="dxa"/>
            <w:vAlign w:val="bottom"/>
          </w:tcPr>
          <w:p>
            <w:pPr>
              <w:spacing w:after="0"/>
              <w:rPr>
                <w:sz w:val="20"/>
                <w:szCs w:val="20"/>
                <w:color w:val="auto"/>
              </w:rPr>
            </w:pPr>
            <w:r>
              <w:rPr>
                <w:rFonts w:ascii="Arial" w:cs="Arial" w:eastAsia="Arial" w:hAnsi="Arial"/>
                <w:sz w:val="18"/>
                <w:szCs w:val="18"/>
                <w:color w:val="auto"/>
              </w:rPr>
              <w:t>Dated: May 6, 2022</w:t>
            </w:r>
          </w:p>
        </w:tc>
        <w:tc>
          <w:tcPr>
            <w:tcW w:w="6400" w:type="dxa"/>
            <w:vAlign w:val="bottom"/>
            <w:gridSpan w:val="2"/>
          </w:tcPr>
          <w:p>
            <w:pPr>
              <w:ind w:left="2160"/>
              <w:spacing w:after="0"/>
              <w:rPr>
                <w:sz w:val="20"/>
                <w:szCs w:val="20"/>
                <w:color w:val="auto"/>
              </w:rPr>
            </w:pPr>
            <w:r>
              <w:rPr>
                <w:rFonts w:ascii="Arial" w:cs="Arial" w:eastAsia="Arial" w:hAnsi="Arial"/>
                <w:sz w:val="18"/>
                <w:szCs w:val="18"/>
                <w:color w:val="auto"/>
              </w:rPr>
              <w:t>By: /s/ KARLA LUNAN</w:t>
            </w:r>
          </w:p>
        </w:tc>
      </w:tr>
      <w:tr>
        <w:trPr>
          <w:trHeight w:val="155"/>
        </w:trPr>
        <w:tc>
          <w:tcPr>
            <w:tcW w:w="3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Karla Lunan</w:t>
            </w:r>
          </w:p>
        </w:tc>
      </w:tr>
      <w:tr>
        <w:trPr>
          <w:trHeight w:val="230"/>
        </w:trPr>
        <w:tc>
          <w:tcPr>
            <w:tcW w:w="34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27"/>
        </w:trPr>
        <w:tc>
          <w:tcPr>
            <w:tcW w:w="3480" w:type="dxa"/>
            <w:vAlign w:val="bottom"/>
          </w:tcPr>
          <w:p>
            <w:pPr>
              <w:spacing w:after="0"/>
              <w:rPr>
                <w:sz w:val="24"/>
                <w:szCs w:val="24"/>
                <w:color w:val="auto"/>
              </w:rPr>
            </w:pPr>
          </w:p>
        </w:tc>
        <w:tc>
          <w:tcPr>
            <w:tcW w:w="2480" w:type="dxa"/>
            <w:vAlign w:val="bottom"/>
          </w:tcPr>
          <w:p>
            <w:pPr>
              <w:jc w:val="right"/>
              <w:ind w:right="170"/>
              <w:spacing w:after="0"/>
              <w:rPr>
                <w:sz w:val="20"/>
                <w:szCs w:val="20"/>
                <w:color w:val="auto"/>
              </w:rPr>
            </w:pPr>
            <w:r>
              <w:rPr>
                <w:rFonts w:ascii="Arial" w:cs="Arial" w:eastAsia="Arial" w:hAnsi="Arial"/>
                <w:sz w:val="18"/>
                <w:szCs w:val="18"/>
                <w:color w:val="auto"/>
              </w:rPr>
              <w:t>24</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24" w:name="page25"/>
    <w:bookmarkEnd w:id="24"/>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spacing w:after="0" w:line="1" w:lineRule="exact"/>
        <w:rPr>
          <w:sz w:val="20"/>
          <w:szCs w:val="20"/>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5" w:name="page26"/>
    <w:bookmarkEnd w:id="25"/>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302 CERTIFICATION OF CHIEF FINANCIAL OFFICER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Karla Lunan, certify that:</w:t>
      </w:r>
    </w:p>
    <w:p>
      <w:pPr>
        <w:spacing w:after="0" w:line="144" w:lineRule="exact"/>
        <w:rPr>
          <w:sz w:val="20"/>
          <w:szCs w:val="20"/>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6"/>
          <w:szCs w:val="16"/>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6" w:name="page27"/>
    <w:bookmarkEnd w:id="26"/>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3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Quarterly Report on Form 10-Q of the Company for the period ended March 31, 2022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7" w:name="page28"/>
    <w:bookmarkEnd w:id="27"/>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5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Karla Lunan, the Chief Financial Officer of Tile Shop Holdings, Inc. (the “Company”), hereby certify that the Quarterly Report on Form 10-Q of the Company for the period ended March 31, 2022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6"/>
          <w:szCs w:val="16"/>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37" Type="http://schemas.openxmlformats.org/officeDocument/2006/relationships/hyperlink" Target="http://www.sec.gov/Archives/edgar/data/1552800/000114420412037509/v316486_ex3-1.htm" TargetMode="External"/><Relationship Id="rId38" Type="http://schemas.openxmlformats.org/officeDocument/2006/relationships/hyperlink" Target="http://www.sec.gov/Archives/edgar/data/1552800/000110465921094416/tm2122262d1_ex3-2.htm" TargetMode="External"/><Relationship Id="rId39" Type="http://schemas.openxmlformats.org/officeDocument/2006/relationships/hyperlink" Target="http://www.sec.gov/Archives/edgar/data/1552800/000114420412037509/v316486_ex3-2.htm" TargetMode="External"/><Relationship Id="rId40" Type="http://schemas.openxmlformats.org/officeDocument/2006/relationships/hyperlink" Target="https://www.sec.gov/Archives/edgar/data/0001552800/000110465921152908/tm2136188d1_ex10-1.htm" TargetMode="External"/><Relationship Id="rId41" Type="http://schemas.openxmlformats.org/officeDocument/2006/relationships/hyperlink" Target="http://www.sec.gov/Archives/edgar/data/0001552800/000110465921152908/tm2136188d1_ex10-1.htm" TargetMode="External"/><Relationship Id="rId42" Type="http://schemas.openxmlformats.org/officeDocument/2006/relationships/hyperlink" Target="http://www.sec.gov/Archives/edgar/data/0001552800/000110465921152908/tm2136188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2022-05-07T00:54:53Z</dcterms:created>
  <dcterms:modified xsi:type="dcterms:W3CDTF">2022-05-07T00:54:53Z</dcterms:modified>
</cp:coreProperties>
</file>