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line="235" w:lineRule="auto"/>
        <w:rPr>
          <w:sz w:val="20"/>
          <w:szCs w:val="20"/>
          <w:color w:val="auto"/>
        </w:rPr>
      </w:pPr>
      <w:r>
        <w:rPr>
          <w:rFonts w:ascii="Arial" w:cs="Arial" w:eastAsia="Arial" w:hAnsi="Arial"/>
          <w:sz w:val="18"/>
          <w:szCs w:val="18"/>
          <w:color w:val="auto"/>
        </w:rPr>
        <w:t>(Mark One)</w:t>
      </w: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20" w:hanging="299"/>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transition period from – to –</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840"/>
        <w:spacing w:after="0"/>
        <w:rPr>
          <w:sz w:val="20"/>
          <w:szCs w:val="20"/>
          <w:color w:val="auto"/>
        </w:rPr>
      </w:pPr>
      <w:r>
        <w:rPr>
          <w:rFonts w:ascii="Arial" w:cs="Arial" w:eastAsia="Arial" w:hAnsi="Arial"/>
          <w:sz w:val="12"/>
          <w:szCs w:val="12"/>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6" w:lineRule="exact"/>
        <w:rPr>
          <w:sz w:val="24"/>
          <w:szCs w:val="24"/>
          <w:color w:val="auto"/>
        </w:rPr>
      </w:pPr>
    </w:p>
    <w:p>
      <w:pPr>
        <w:sectPr>
          <w:pgSz w:w="11900" w:h="16838" w:orient="portrait"/>
          <w:cols w:equalWidth="0" w:num="3">
            <w:col w:w="4440" w:space="720"/>
            <w:col w:w="2240" w:space="720"/>
            <w:col w:w="300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line="189"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9" w:lineRule="exact"/>
              <w:rPr>
                <w:sz w:val="20"/>
                <w:szCs w:val="20"/>
                <w:color w:val="auto"/>
              </w:rPr>
            </w:pPr>
            <w:r>
              <w:rPr>
                <w:rFonts w:ascii="Arial" w:cs="Arial" w:eastAsia="Arial" w:hAnsi="Arial"/>
                <w:sz w:val="18"/>
                <w:szCs w:val="18"/>
                <w:color w:val="auto"/>
              </w:rPr>
              <w:t>x</w:t>
            </w:r>
          </w:p>
        </w:tc>
      </w:tr>
      <w:tr>
        <w:trPr>
          <w:trHeight w:val="28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196" w:lineRule="exact"/>
        <w:tabs>
          <w:tab w:leader="none" w:pos="88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tab/>
        <w:t>x No</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2022, there were 52,257,157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rFonts w:ascii="Arial" w:cs="Arial" w:eastAsia="Arial" w:hAnsi="Arial"/>
                <w:sz w:val="16"/>
                <w:szCs w:val="16"/>
                <w:b w:val="1"/>
                <w:bCs w:val="1"/>
                <w:color w:val="0563C1"/>
              </w:rPr>
            </w:pPr>
            <w:hyperlink w:anchor="page3">
              <w:r>
                <w:rPr>
                  <w:rFonts w:ascii="Arial" w:cs="Arial" w:eastAsia="Arial" w:hAnsi="Arial"/>
                  <w:sz w:val="16"/>
                  <w:szCs w:val="16"/>
                  <w:b w:val="1"/>
                  <w:bCs w:val="1"/>
                  <w:color w:val="0563C1"/>
                </w:rPr>
                <w:t>PART I. FINANCIAL INFORMATION</w:t>
              </w:r>
            </w:hyperlink>
          </w:p>
        </w:tc>
        <w:tc>
          <w:tcPr>
            <w:tcW w:w="7520" w:type="dxa"/>
            <w:vAlign w:val="bottom"/>
            <w:tcBorders>
              <w:top w:val="single" w:sz="8" w:color="CCEEFF"/>
              <w:bottom w:val="single" w:sz="8" w:color="CCEEFF"/>
            </w:tcBorders>
            <w:gridSpan w:val="10"/>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rFonts w:ascii="Arial" w:cs="Arial" w:eastAsia="Arial" w:hAnsi="Arial"/>
                <w:sz w:val="18"/>
                <w:szCs w:val="18"/>
                <w:color w:val="0563C1"/>
                <w:w w:val="90"/>
              </w:rPr>
            </w:pPr>
            <w:hyperlink w:anchor="page3">
              <w:r>
                <w:rPr>
                  <w:rFonts w:ascii="Arial" w:cs="Arial" w:eastAsia="Arial" w:hAnsi="Arial"/>
                  <w:sz w:val="18"/>
                  <w:szCs w:val="18"/>
                  <w:color w:val="0563C1"/>
                  <w:w w:val="90"/>
                </w:rPr>
                <w:t>Item 1.</w:t>
              </w:r>
            </w:hyperlink>
          </w:p>
        </w:tc>
        <w:tc>
          <w:tcPr>
            <w:tcW w:w="460" w:type="dxa"/>
            <w:vAlign w:val="bottom"/>
            <w:gridSpan w:val="3"/>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3">
              <w:r>
                <w:rPr>
                  <w:rFonts w:ascii="Arial" w:cs="Arial" w:eastAsia="Arial" w:hAnsi="Arial"/>
                  <w:sz w:val="18"/>
                  <w:szCs w:val="18"/>
                  <w:color w:val="0563C1"/>
                </w:rPr>
                <w:t>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rFonts w:ascii="Arial" w:cs="Arial" w:eastAsia="Arial" w:hAnsi="Arial"/>
                <w:sz w:val="18"/>
                <w:szCs w:val="18"/>
                <w:color w:val="0563C1"/>
                <w:w w:val="89"/>
              </w:rPr>
            </w:pPr>
            <w:hyperlink w:anchor="page3">
              <w:r>
                <w:rPr>
                  <w:rFonts w:ascii="Arial" w:cs="Arial" w:eastAsia="Arial" w:hAnsi="Arial"/>
                  <w:sz w:val="18"/>
                  <w:szCs w:val="18"/>
                  <w:color w:val="0563C1"/>
                  <w:w w:val="89"/>
                </w:rPr>
                <w:t>Consolidated Balance Sheets</w:t>
              </w:r>
            </w:hyperlink>
          </w:p>
        </w:tc>
        <w:tc>
          <w:tcPr>
            <w:tcW w:w="7480" w:type="dxa"/>
            <w:vAlign w:val="bottom"/>
            <w:tcBorders>
              <w:bottom w:val="single" w:sz="8" w:color="CCEEFF"/>
            </w:tcBorders>
            <w:gridSpan w:val="9"/>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563C1"/>
            </w:tcBorders>
            <w:gridSpan w:val="11"/>
          </w:tcPr>
          <w:p>
            <w:pPr>
              <w:spacing w:after="0" w:line="162" w:lineRule="exact"/>
              <w:rPr>
                <w:rFonts w:ascii="Arial" w:cs="Arial" w:eastAsia="Arial" w:hAnsi="Arial"/>
                <w:sz w:val="18"/>
                <w:szCs w:val="18"/>
                <w:color w:val="0563C1"/>
                <w:w w:val="90"/>
              </w:rPr>
            </w:pPr>
            <w:hyperlink w:anchor="page4">
              <w:r>
                <w:rPr>
                  <w:rFonts w:ascii="Arial" w:cs="Arial" w:eastAsia="Arial" w:hAnsi="Arial"/>
                  <w:sz w:val="18"/>
                  <w:szCs w:val="18"/>
                  <w:color w:val="0563C1"/>
                  <w:w w:val="90"/>
                </w:rPr>
                <w:t>Consolidated Statements of Operations</w:t>
              </w:r>
            </w:hyperlink>
          </w:p>
        </w:tc>
        <w:tc>
          <w:tcPr>
            <w:tcW w:w="6760" w:type="dxa"/>
            <w:vAlign w:val="bottom"/>
            <w:gridSpan w:val="7"/>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4"/>
            <w:shd w:val="clear" w:color="auto" w:fill="CCEEFF"/>
          </w:tcPr>
          <w:p>
            <w:pPr>
              <w:spacing w:after="0" w:line="162" w:lineRule="exact"/>
              <w:rPr>
                <w:rFonts w:ascii="Arial" w:cs="Arial" w:eastAsia="Arial" w:hAnsi="Arial"/>
                <w:sz w:val="18"/>
                <w:szCs w:val="18"/>
                <w:color w:val="0563C1"/>
                <w:w w:val="89"/>
              </w:rPr>
            </w:pPr>
            <w:hyperlink w:anchor="page5">
              <w:r>
                <w:rPr>
                  <w:rFonts w:ascii="Arial" w:cs="Arial" w:eastAsia="Arial" w:hAnsi="Arial"/>
                  <w:sz w:val="18"/>
                  <w:szCs w:val="18"/>
                  <w:color w:val="0563C1"/>
                  <w:w w:val="89"/>
                </w:rPr>
                <w:t>Consolidated Statements of Comprehensive Income</w:t>
              </w:r>
            </w:hyperlink>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5">
              <w:r>
                <w:rPr>
                  <w:rFonts w:ascii="Arial" w:cs="Arial" w:eastAsia="Arial" w:hAnsi="Arial"/>
                  <w:sz w:val="18"/>
                  <w:szCs w:val="18"/>
                  <w:color w:val="0563C1"/>
                </w:rPr>
                <w:t>Consolidated Statements of Stockholders’ Equity</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3"/>
            <w:shd w:val="clear" w:color="auto" w:fill="CCEEFF"/>
          </w:tcPr>
          <w:p>
            <w:pPr>
              <w:spacing w:after="0" w:line="162" w:lineRule="exact"/>
              <w:rPr>
                <w:rFonts w:ascii="Arial" w:cs="Arial" w:eastAsia="Arial" w:hAnsi="Arial"/>
                <w:sz w:val="18"/>
                <w:szCs w:val="18"/>
                <w:color w:val="0563C1"/>
              </w:rPr>
            </w:pPr>
            <w:hyperlink w:anchor="page8">
              <w:r>
                <w:rPr>
                  <w:rFonts w:ascii="Arial" w:cs="Arial" w:eastAsia="Arial" w:hAnsi="Arial"/>
                  <w:sz w:val="18"/>
                  <w:szCs w:val="18"/>
                  <w:color w:val="0563C1"/>
                </w:rPr>
                <w:t>Consolidated Statements of Cash Flows</w:t>
              </w:r>
            </w:hyperlink>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9">
              <w:r>
                <w:rPr>
                  <w:rFonts w:ascii="Arial" w:cs="Arial" w:eastAsia="Arial" w:hAnsi="Arial"/>
                  <w:sz w:val="18"/>
                  <w:szCs w:val="18"/>
                  <w:color w:val="0563C1"/>
                </w:rPr>
                <w:t>Notes to Consolidated 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16">
              <w:r>
                <w:rPr>
                  <w:rFonts w:ascii="Arial" w:cs="Arial" w:eastAsia="Arial" w:hAnsi="Arial"/>
                  <w:sz w:val="18"/>
                  <w:szCs w:val="18"/>
                  <w:color w:val="0563C1"/>
                  <w:w w:val="90"/>
                </w:rPr>
                <w:t>Item 2.</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rFonts w:ascii="Arial" w:cs="Arial" w:eastAsia="Arial" w:hAnsi="Arial"/>
                <w:sz w:val="18"/>
                <w:szCs w:val="18"/>
                <w:color w:val="0563C1"/>
                <w:w w:val="90"/>
              </w:rPr>
            </w:pPr>
            <w:hyperlink w:anchor="page16">
              <w:r>
                <w:rPr>
                  <w:rFonts w:ascii="Arial" w:cs="Arial" w:eastAsia="Arial" w:hAnsi="Arial"/>
                  <w:sz w:val="18"/>
                  <w:szCs w:val="18"/>
                  <w:color w:val="0563C1"/>
                  <w:w w:val="90"/>
                </w:rPr>
                <w:t>Management’s Discussion and Analysis of Financial Condition and Results of Operations</w:t>
              </w:r>
            </w:hyperlink>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rFonts w:ascii="Arial" w:cs="Arial" w:eastAsia="Arial" w:hAnsi="Arial"/>
                <w:sz w:val="18"/>
                <w:szCs w:val="18"/>
                <w:color w:val="0563C1"/>
                <w:w w:val="90"/>
              </w:rPr>
            </w:pPr>
            <w:hyperlink w:anchor="page22">
              <w:r>
                <w:rPr>
                  <w:rFonts w:ascii="Arial" w:cs="Arial" w:eastAsia="Arial" w:hAnsi="Arial"/>
                  <w:sz w:val="18"/>
                  <w:szCs w:val="18"/>
                  <w:color w:val="0563C1"/>
                  <w:w w:val="90"/>
                </w:rPr>
                <w:t>Item 3.</w:t>
              </w:r>
            </w:hyperlink>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rFonts w:ascii="Arial" w:cs="Arial" w:eastAsia="Arial" w:hAnsi="Arial"/>
                <w:sz w:val="18"/>
                <w:szCs w:val="18"/>
                <w:color w:val="0563C1"/>
                <w:w w:val="92"/>
              </w:rPr>
            </w:pPr>
            <w:hyperlink w:anchor="page22">
              <w:r>
                <w:rPr>
                  <w:rFonts w:ascii="Arial" w:cs="Arial" w:eastAsia="Arial" w:hAnsi="Arial"/>
                  <w:sz w:val="18"/>
                  <w:szCs w:val="18"/>
                  <w:color w:val="0563C1"/>
                  <w:w w:val="92"/>
                </w:rPr>
                <w:t>Quantitative and Qualitative Disclosures About Market Risk</w:t>
              </w:r>
            </w:hyperlink>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2">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2">
              <w:r>
                <w:rPr>
                  <w:rFonts w:ascii="Arial" w:cs="Arial" w:eastAsia="Arial" w:hAnsi="Arial"/>
                  <w:sz w:val="18"/>
                  <w:szCs w:val="18"/>
                  <w:color w:val="0563C1"/>
                </w:rPr>
                <w:t>Controls and Procedures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rFonts w:ascii="Arial" w:cs="Arial" w:eastAsia="Arial" w:hAnsi="Arial"/>
                <w:sz w:val="18"/>
                <w:szCs w:val="18"/>
                <w:b w:val="1"/>
                <w:bCs w:val="1"/>
                <w:color w:val="0563C1"/>
              </w:rPr>
            </w:pPr>
            <w:hyperlink w:anchor="page22">
              <w:r>
                <w:rPr>
                  <w:rFonts w:ascii="Arial" w:cs="Arial" w:eastAsia="Arial" w:hAnsi="Arial"/>
                  <w:sz w:val="18"/>
                  <w:szCs w:val="18"/>
                  <w:b w:val="1"/>
                  <w:bCs w:val="1"/>
                  <w:color w:val="0563C1"/>
                </w:rPr>
                <w:t>PART II. OTHER INFORMATION</w:t>
              </w:r>
            </w:hyperlink>
          </w:p>
        </w:tc>
        <w:tc>
          <w:tcPr>
            <w:tcW w:w="782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2">
              <w:r>
                <w:rPr>
                  <w:rFonts w:ascii="Arial" w:cs="Arial" w:eastAsia="Arial" w:hAnsi="Arial"/>
                  <w:sz w:val="18"/>
                  <w:szCs w:val="18"/>
                  <w:color w:val="0563C1"/>
                  <w:w w:val="90"/>
                </w:rPr>
                <w:t>Item 1.</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rFonts w:ascii="Arial" w:cs="Arial" w:eastAsia="Arial" w:hAnsi="Arial"/>
                <w:sz w:val="18"/>
                <w:szCs w:val="18"/>
                <w:color w:val="0563C1"/>
                <w:w w:val="88"/>
              </w:rPr>
            </w:pPr>
            <w:hyperlink w:anchor="page22">
              <w:r>
                <w:rPr>
                  <w:rFonts w:ascii="Arial" w:cs="Arial" w:eastAsia="Arial" w:hAnsi="Arial"/>
                  <w:sz w:val="18"/>
                  <w:szCs w:val="18"/>
                  <w:color w:val="0563C1"/>
                  <w:w w:val="88"/>
                </w:rPr>
                <w:t>Legal Proceedings</w:t>
              </w:r>
            </w:hyperlink>
          </w:p>
        </w:tc>
        <w:tc>
          <w:tcPr>
            <w:tcW w:w="8280" w:type="dxa"/>
            <w:vAlign w:val="bottom"/>
            <w:tcBorders>
              <w:bottom w:val="single" w:sz="8" w:color="CCEEFF"/>
            </w:tcBorders>
            <w:gridSpan w:val="1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2">
              <w:r>
                <w:rPr>
                  <w:rFonts w:ascii="Arial" w:cs="Arial" w:eastAsia="Arial" w:hAnsi="Arial"/>
                  <w:sz w:val="18"/>
                  <w:szCs w:val="18"/>
                  <w:color w:val="0563C1"/>
                </w:rPr>
                <w:t>Item 1A.</w:t>
              </w:r>
            </w:hyperlink>
          </w:p>
        </w:tc>
        <w:tc>
          <w:tcPr>
            <w:tcW w:w="9620" w:type="dxa"/>
            <w:vAlign w:val="bottom"/>
            <w:gridSpan w:val="18"/>
          </w:tcPr>
          <w:p>
            <w:pPr>
              <w:spacing w:after="0" w:line="162" w:lineRule="exact"/>
              <w:rPr>
                <w:rFonts w:ascii="Arial" w:cs="Arial" w:eastAsia="Arial" w:hAnsi="Arial"/>
                <w:sz w:val="18"/>
                <w:szCs w:val="18"/>
                <w:color w:val="0563C1"/>
              </w:rPr>
            </w:pPr>
            <w:hyperlink w:anchor="page22">
              <w:r>
                <w:rPr>
                  <w:rFonts w:ascii="Arial" w:cs="Arial" w:eastAsia="Arial" w:hAnsi="Arial"/>
                  <w:sz w:val="18"/>
                  <w:szCs w:val="18"/>
                  <w:color w:val="0563C1"/>
                </w:rPr>
                <w:t>Risk Factors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3">
              <w:r>
                <w:rPr>
                  <w:rFonts w:ascii="Arial" w:cs="Arial" w:eastAsia="Arial" w:hAnsi="Arial"/>
                  <w:sz w:val="18"/>
                  <w:szCs w:val="18"/>
                  <w:color w:val="0563C1"/>
                  <w:w w:val="90"/>
                </w:rPr>
                <w:t>Item 2.</w:t>
              </w:r>
            </w:hyperlink>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3">
              <w:r>
                <w:rPr>
                  <w:rFonts w:ascii="Arial" w:cs="Arial" w:eastAsia="Arial" w:hAnsi="Arial"/>
                  <w:sz w:val="18"/>
                  <w:szCs w:val="18"/>
                  <w:color w:val="0563C1"/>
                </w:rPr>
                <w:t>Unregistered Sales of Equity Securities and Use of Proceeds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rFonts w:ascii="Arial" w:cs="Arial" w:eastAsia="Arial" w:hAnsi="Arial"/>
                <w:sz w:val="18"/>
                <w:szCs w:val="18"/>
                <w:color w:val="0563C1"/>
                <w:w w:val="90"/>
              </w:rPr>
            </w:pPr>
            <w:hyperlink w:anchor="page23">
              <w:r>
                <w:rPr>
                  <w:rFonts w:ascii="Arial" w:cs="Arial" w:eastAsia="Arial" w:hAnsi="Arial"/>
                  <w:sz w:val="18"/>
                  <w:szCs w:val="18"/>
                  <w:color w:val="0563C1"/>
                  <w:w w:val="90"/>
                </w:rPr>
                <w:t>Item 3.</w:t>
              </w:r>
            </w:hyperlink>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5"/>
          </w:tcPr>
          <w:p>
            <w:pPr>
              <w:spacing w:after="0" w:line="162" w:lineRule="exact"/>
              <w:rPr>
                <w:rFonts w:ascii="Arial" w:cs="Arial" w:eastAsia="Arial" w:hAnsi="Arial"/>
                <w:sz w:val="18"/>
                <w:szCs w:val="18"/>
                <w:color w:val="0563C1"/>
              </w:rPr>
            </w:pPr>
            <w:hyperlink w:anchor="page23">
              <w:r>
                <w:rPr>
                  <w:rFonts w:ascii="Arial" w:cs="Arial" w:eastAsia="Arial" w:hAnsi="Arial"/>
                  <w:sz w:val="18"/>
                  <w:szCs w:val="18"/>
                  <w:color w:val="0563C1"/>
                </w:rPr>
                <w:t>Defaults Upon Senior Securities</w:t>
              </w:r>
            </w:hyperlink>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3">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rFonts w:ascii="Arial" w:cs="Arial" w:eastAsia="Arial" w:hAnsi="Arial"/>
                <w:sz w:val="18"/>
                <w:szCs w:val="18"/>
                <w:color w:val="0563C1"/>
              </w:rPr>
            </w:pPr>
            <w:hyperlink w:anchor="page23">
              <w:r>
                <w:rPr>
                  <w:rFonts w:ascii="Arial" w:cs="Arial" w:eastAsia="Arial" w:hAnsi="Arial"/>
                  <w:sz w:val="18"/>
                  <w:szCs w:val="18"/>
                  <w:color w:val="0563C1"/>
                </w:rPr>
                <w:t>Mine Safety Disclosures</w:t>
              </w:r>
            </w:hyperlink>
          </w:p>
        </w:tc>
        <w:tc>
          <w:tcPr>
            <w:tcW w:w="7300" w:type="dxa"/>
            <w:vAlign w:val="bottom"/>
            <w:gridSpan w:val="8"/>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rFonts w:ascii="Arial" w:cs="Arial" w:eastAsia="Arial" w:hAnsi="Arial"/>
                <w:sz w:val="18"/>
                <w:szCs w:val="18"/>
                <w:color w:val="0563C1"/>
                <w:w w:val="90"/>
              </w:rPr>
            </w:pPr>
            <w:hyperlink w:anchor="page23">
              <w:r>
                <w:rPr>
                  <w:rFonts w:ascii="Arial" w:cs="Arial" w:eastAsia="Arial" w:hAnsi="Arial"/>
                  <w:sz w:val="18"/>
                  <w:szCs w:val="18"/>
                  <w:color w:val="0563C1"/>
                  <w:w w:val="90"/>
                </w:rPr>
                <w:t>Item 5.</w:t>
              </w:r>
            </w:hyperlink>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rFonts w:ascii="Arial" w:cs="Arial" w:eastAsia="Arial" w:hAnsi="Arial"/>
                <w:sz w:val="18"/>
                <w:szCs w:val="18"/>
                <w:color w:val="0563C1"/>
                <w:w w:val="92"/>
              </w:rPr>
            </w:pPr>
            <w:hyperlink w:anchor="page23">
              <w:r>
                <w:rPr>
                  <w:rFonts w:ascii="Arial" w:cs="Arial" w:eastAsia="Arial" w:hAnsi="Arial"/>
                  <w:sz w:val="18"/>
                  <w:szCs w:val="18"/>
                  <w:color w:val="0563C1"/>
                  <w:w w:val="92"/>
                </w:rPr>
                <w:t>Other Information</w:t>
              </w:r>
            </w:hyperlink>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5">
              <w:r>
                <w:rPr>
                  <w:rFonts w:ascii="Arial" w:cs="Arial" w:eastAsia="Arial" w:hAnsi="Arial"/>
                  <w:sz w:val="18"/>
                  <w:szCs w:val="18"/>
                  <w:color w:val="0563C1"/>
                  <w:w w:val="90"/>
                </w:rPr>
                <w:t>Item 6.</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1"/>
              </w:rPr>
            </w:pPr>
            <w:hyperlink w:anchor="page25">
              <w:r>
                <w:rPr>
                  <w:rFonts w:ascii="Arial" w:cs="Arial" w:eastAsia="Arial" w:hAnsi="Arial"/>
                  <w:sz w:val="18"/>
                  <w:szCs w:val="18"/>
                  <w:color w:val="0563C1"/>
                  <w:w w:val="91"/>
                </w:rPr>
                <w:t>Exhibits</w:t>
              </w:r>
            </w:hyperlink>
          </w:p>
        </w:tc>
        <w:tc>
          <w:tcPr>
            <w:tcW w:w="9020" w:type="dxa"/>
            <w:vAlign w:val="bottom"/>
            <w:tcBorders>
              <w:bottom w:val="single" w:sz="8" w:color="CCEEFF"/>
            </w:tcBorders>
            <w:gridSpan w:val="16"/>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5">
              <w:r>
                <w:rPr>
                  <w:rFonts w:ascii="Arial" w:cs="Arial" w:eastAsia="Arial" w:hAnsi="Arial"/>
                  <w:sz w:val="18"/>
                  <w:szCs w:val="18"/>
                  <w:color w:val="0563C1"/>
                </w:rPr>
                <w:t>Signatures</w:t>
              </w:r>
            </w:hyperlink>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7"/>
        </w:trPr>
        <w:tc>
          <w:tcPr>
            <w:tcW w:w="1360" w:type="dxa"/>
            <w:vAlign w:val="bottom"/>
          </w:tcPr>
          <w:p>
            <w:pPr>
              <w:spacing w:after="0"/>
              <w:rPr>
                <w:sz w:val="24"/>
                <w:szCs w:val="24"/>
                <w:color w:val="auto"/>
              </w:rPr>
            </w:pPr>
          </w:p>
        </w:tc>
        <w:tc>
          <w:tcPr>
            <w:tcW w:w="7000" w:type="dxa"/>
            <w:vAlign w:val="bottom"/>
          </w:tcPr>
          <w:p>
            <w:pPr>
              <w:ind w:left="2680"/>
              <w:spacing w:after="0"/>
              <w:rPr>
                <w:sz w:val="20"/>
                <w:szCs w:val="20"/>
                <w:color w:val="auto"/>
              </w:rPr>
            </w:pPr>
            <w:r>
              <w:rPr>
                <w:rFonts w:ascii="Arial" w:cs="Arial" w:eastAsia="Arial" w:hAnsi="Arial"/>
                <w:sz w:val="18"/>
                <w:szCs w:val="18"/>
                <w:b w:val="1"/>
                <w:bCs w:val="1"/>
                <w:color w:val="auto"/>
              </w:rPr>
              <w:t>Tile Shop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ind w:left="3220"/>
              <w:spacing w:after="0" w:line="189" w:lineRule="exact"/>
              <w:rPr>
                <w:sz w:val="20"/>
                <w:szCs w:val="20"/>
                <w:color w:val="auto"/>
              </w:rPr>
            </w:pPr>
            <w:r>
              <w:rPr>
                <w:rFonts w:ascii="Arial" w:cs="Arial" w:eastAsia="Arial" w:hAnsi="Arial"/>
                <w:sz w:val="18"/>
                <w:szCs w:val="18"/>
                <w:color w:val="auto"/>
              </w:rPr>
              <w:t>Consolidated Balance Sheets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ind w:left="2660"/>
              <w:spacing w:after="0"/>
              <w:rPr>
                <w:sz w:val="20"/>
                <w:szCs w:val="20"/>
                <w:color w:val="auto"/>
              </w:rPr>
            </w:pPr>
            <w:r>
              <w:rPr>
                <w:rFonts w:ascii="Arial" w:cs="Arial" w:eastAsia="Arial" w:hAnsi="Arial"/>
                <w:sz w:val="18"/>
                <w:szCs w:val="18"/>
                <w:color w:val="auto"/>
              </w:rPr>
              <w:t>(dollars in thousands, except per share data)</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2021</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10,506</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4,184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3,202</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110,039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97,175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6,923</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8,090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9,769</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142,022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127,082</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76,621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82,285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116,961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6,435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6,953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1,337</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345,271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340,758</w:t>
            </w:r>
          </w:p>
        </w:tc>
      </w:tr>
      <w:tr>
        <w:trPr>
          <w:trHeight w:val="169"/>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30,132</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30,884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390</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28,126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28,190</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41,236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38,249</w:t>
            </w:r>
          </w:p>
        </w:tc>
      </w:tr>
      <w:tr>
        <w:trPr>
          <w:trHeight w:val="182"/>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99,776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97,713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102,656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110,261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5,560</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212,283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218,534</w:t>
            </w:r>
          </w:p>
        </w:tc>
      </w:tr>
      <w:tr>
        <w:trPr>
          <w:trHeight w:val="183"/>
        </w:trPr>
        <w:tc>
          <w:tcPr>
            <w:tcW w:w="1360" w:type="dxa"/>
            <w:vAlign w:val="bottom"/>
            <w:shd w:val="clear" w:color="auto" w:fill="CCEEFF"/>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52,270,922 and</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7"/>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51,963,377 shares, respectively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127,298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126,920</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spacing w:after="0"/>
              <w:rPr>
                <w:sz w:val="16"/>
                <w:szCs w:val="16"/>
                <w:color w:val="auto"/>
              </w:rPr>
            </w:pPr>
          </w:p>
        </w:tc>
        <w:tc>
          <w:tcPr>
            <w:tcW w:w="12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5,714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(4,713)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 income</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132,988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345,271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340,758</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6"/>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80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60" w:type="dxa"/>
            <w:vAlign w:val="bottom"/>
            <w:gridSpan w:val="4"/>
          </w:tcPr>
          <w:p>
            <w:pPr>
              <w:jc w:val="center"/>
              <w:ind w:left="47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800" w:type="dxa"/>
            <w:vAlign w:val="bottom"/>
            <w:gridSpan w:val="5"/>
          </w:tcPr>
          <w:p>
            <w:pPr>
              <w:jc w:val="center"/>
              <w:ind w:left="70"/>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20" w:type="dxa"/>
            <w:vAlign w:val="bottom"/>
            <w:gridSpan w:val="2"/>
          </w:tcPr>
          <w:p>
            <w:pPr>
              <w:jc w:val="center"/>
              <w:ind w:left="1490"/>
              <w:spacing w:after="0"/>
              <w:rPr>
                <w:sz w:val="20"/>
                <w:szCs w:val="20"/>
                <w:color w:val="auto"/>
              </w:rPr>
            </w:pPr>
            <w:r>
              <w:rPr>
                <w:rFonts w:ascii="Arial" w:cs="Arial" w:eastAsia="Arial" w:hAnsi="Arial"/>
                <w:sz w:val="18"/>
                <w:szCs w:val="18"/>
                <w:color w:val="auto"/>
                <w:w w:val="92"/>
              </w:rPr>
              <w:t>(unaudited)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440" w:type="dxa"/>
            <w:vAlign w:val="bottom"/>
            <w:gridSpan w:val="4"/>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18"/>
                <w:szCs w:val="18"/>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2022</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107,604</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96,193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210,075</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188,277</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36,586</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29,768</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72,212</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57,666</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71,018</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66,425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137,863</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130,611</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61,240</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58,811</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123,349</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116,089</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9,778</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7,614</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14,514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14,522</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(145)</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(467)</w:t>
            </w:r>
          </w:p>
        </w:tc>
        <w:tc>
          <w:tcPr>
            <w:tcW w:w="3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(313)</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20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9,577</w:t>
            </w: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7,469</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14,047</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14,209</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(2,663)</w:t>
            </w:r>
          </w:p>
        </w:tc>
        <w:tc>
          <w:tcPr>
            <w:tcW w:w="340" w:type="dxa"/>
            <w:vAlign w:val="bottom"/>
          </w:tcPr>
          <w:p>
            <w:pPr>
              <w:spacing w:after="0"/>
              <w:rPr>
                <w:sz w:val="16"/>
                <w:szCs w:val="16"/>
                <w:color w:val="auto"/>
              </w:rPr>
            </w:pPr>
          </w:p>
        </w:tc>
        <w:tc>
          <w:tcPr>
            <w:tcW w:w="11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(1,975)</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(3,620)</w:t>
            </w:r>
          </w:p>
        </w:tc>
        <w:tc>
          <w:tcPr>
            <w:tcW w:w="3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(3,418)</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0.14</w:t>
            </w:r>
          </w:p>
        </w:tc>
        <w:tc>
          <w:tcPr>
            <w:tcW w:w="140" w:type="dxa"/>
            <w:vAlign w:val="bottom"/>
          </w:tcPr>
          <w:p>
            <w:pPr>
              <w:spacing w:after="0"/>
              <w:rPr>
                <w:sz w:val="16"/>
                <w:szCs w:val="16"/>
                <w:color w:val="auto"/>
              </w:rPr>
            </w:pP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0.21</w:t>
            </w:r>
          </w:p>
        </w:tc>
        <w:tc>
          <w:tcPr>
            <w:tcW w:w="14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0.22</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420" w:type="dxa"/>
            <w:vAlign w:val="bottom"/>
            <w:gridSpan w:val="2"/>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0.21</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88"/>
              </w:rPr>
              <w:t>50,890,063</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w w:val="97"/>
              </w:rPr>
              <w:t>50,259,945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50,802,423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w w:val="97"/>
              </w:rPr>
              <w:t>50,183,310</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51,253,543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51,333,949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51,214,607</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51,183,259</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5"/>
          </w:tcPr>
          <w:p>
            <w:pPr>
              <w:jc w:val="right"/>
              <w:ind w:right="167"/>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17"/>
        </w:trPr>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8"/>
                <w:szCs w:val="18"/>
                <w:color w:val="auto"/>
              </w:rPr>
            </w:pPr>
          </w:p>
        </w:tc>
      </w:tr>
      <w:tr>
        <w:trPr>
          <w:trHeight w:val="183"/>
        </w:trPr>
        <w:tc>
          <w:tcPr>
            <w:tcW w:w="3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2022</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2021</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6,914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5,494</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10,427</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r>
      <w:tr>
        <w:trPr>
          <w:trHeight w:val="189"/>
        </w:trPr>
        <w:tc>
          <w:tcPr>
            <w:tcW w:w="3840" w:type="dxa"/>
            <w:vAlign w:val="bottom"/>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(loss) income</w:t>
            </w:r>
          </w:p>
        </w:tc>
        <w:tc>
          <w:tcPr>
            <w:tcW w:w="1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384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1280" w:type="dxa"/>
            <w:vAlign w:val="bottom"/>
          </w:tcPr>
          <w:p>
            <w:pPr>
              <w:spacing w:after="0"/>
              <w:rPr>
                <w:sz w:val="15"/>
                <w:szCs w:val="15"/>
                <w:color w:val="auto"/>
              </w:rPr>
            </w:pP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6,871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5,498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10,386</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10,803</w:t>
            </w:r>
          </w:p>
        </w:tc>
      </w:tr>
      <w:tr>
        <w:trPr>
          <w:trHeight w:val="20"/>
        </w:trPr>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paid-in</w:t>
            </w: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460" w:type="dxa"/>
            <w:vAlign w:val="bottom"/>
            <w:gridSpan w:val="2"/>
          </w:tcPr>
          <w:p>
            <w:pPr>
              <w:ind w:left="5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deficit</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income (loss)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2021</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51,932,704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158,545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144,356</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Cancellation of restricted shares</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(5,345)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61"/>
        </w:trPr>
        <w:tc>
          <w:tcPr>
            <w:tcW w:w="4200" w:type="dxa"/>
            <w:vAlign w:val="bottom"/>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(14,670)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51,912,689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159,149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150,458</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2022</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52,112,567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126,805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125,624</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172,429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(2,918)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190"/>
        </w:trPr>
        <w:tc>
          <w:tcPr>
            <w:tcW w:w="420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52,270,922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127,298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5,714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132,988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deficit</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income (loss)</w:t>
            </w:r>
          </w:p>
        </w:tc>
        <w:tc>
          <w:tcPr>
            <w:tcW w:w="2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51,701,080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158,556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(19,487)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322,024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(7,055)</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1,299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10,791</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51,912,689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159,149</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(8,696)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150,458</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51,963,377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126,920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(4,713)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592,396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(180,746)</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161"/>
        </w:trPr>
        <w:tc>
          <w:tcPr>
            <w:tcW w:w="4320" w:type="dxa"/>
            <w:vAlign w:val="bottom"/>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(104,105)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52,270,922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127,298</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5,714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132,988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ind w:right="40"/>
        <w:spacing w:after="0" w:line="221" w:lineRule="auto"/>
        <w:rPr>
          <w:sz w:val="20"/>
          <w:szCs w:val="20"/>
          <w:color w:val="auto"/>
        </w:rPr>
      </w:pPr>
      <w:r>
        <w:rPr>
          <w:rFonts w:ascii="Arial" w:cs="Arial" w:eastAsia="Arial" w:hAnsi="Arial"/>
          <w:sz w:val="18"/>
          <w:szCs w:val="18"/>
          <w:color w:val="auto"/>
        </w:rPr>
        <w:t>Consolidated Statements of Cash Flows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17"/>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8"/>
                <w:szCs w:val="18"/>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10,427</w:t>
            </w:r>
          </w:p>
        </w:tc>
        <w:tc>
          <w:tcPr>
            <w:tcW w:w="80" w:type="dxa"/>
            <w:vAlign w:val="bottom"/>
          </w:tcPr>
          <w:p>
            <w:pPr>
              <w:spacing w:after="0"/>
              <w:rPr>
                <w:sz w:val="16"/>
                <w:szCs w:val="16"/>
                <w:color w:val="auto"/>
              </w:rPr>
            </w:pPr>
          </w:p>
        </w:tc>
        <w:tc>
          <w:tcPr>
            <w:tcW w:w="440" w:type="dxa"/>
            <w:vAlign w:val="bottom"/>
            <w:gridSpan w:val="2"/>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10,791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12,854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14,259</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12,393</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1,299</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(12,864)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5,363</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1,870</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1,010</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(760)</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(12,040)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(3,934)</w:t>
            </w:r>
          </w:p>
        </w:tc>
      </w:tr>
      <w:tr>
        <w:trPr>
          <w:trHeight w:val="183"/>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9,223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41,985</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(7,361)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(6,157)</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(7,361)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(6,157)</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(10,000)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(676)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(706)</w:t>
            </w:r>
          </w:p>
        </w:tc>
      </w:tr>
      <w:tr>
        <w:trPr>
          <w:trHeight w:val="183"/>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(706)</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35,133</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10,013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10,272</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11,161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45,405</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10,506</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44,750</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11,161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45,405</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90</w:t>
            </w:r>
          </w:p>
        </w:tc>
        <w:tc>
          <w:tcPr>
            <w:tcW w:w="80" w:type="dxa"/>
            <w:vAlign w:val="bottom"/>
          </w:tcPr>
          <w:p>
            <w:pPr>
              <w:spacing w:after="0"/>
              <w:rPr>
                <w:sz w:val="16"/>
                <w:szCs w:val="16"/>
                <w:color w:val="auto"/>
              </w:rPr>
            </w:pPr>
          </w:p>
        </w:tc>
        <w:tc>
          <w:tcPr>
            <w:tcW w:w="440" w:type="dxa"/>
            <w:vAlign w:val="bottom"/>
            <w:gridSpan w:val="2"/>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391</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361</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Cash paid for income taxes,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4,352</w:t>
            </w:r>
          </w:p>
        </w:tc>
      </w:tr>
    </w:tbl>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8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2022,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2022 are not necessarily indicative of the results that may be expected for the fiscal year ending December 31, 2022.</w:t>
      </w:r>
    </w:p>
    <w:p>
      <w:pPr>
        <w:spacing w:after="0" w:line="1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2021.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The Company is currently evaluating the impact this guidance will have on its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17"/>
        </w:trPr>
        <w:tc>
          <w:tcPr>
            <w:tcW w:w="432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color w:val="auto"/>
                <w:w w:val="86"/>
              </w:rPr>
              <w:t>June 30,</w:t>
            </w: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color w:val="auto"/>
                <w:w w:val="86"/>
              </w:rPr>
              <w:t>June 30,</w:t>
            </w:r>
          </w:p>
        </w:tc>
        <w:tc>
          <w:tcPr>
            <w:tcW w:w="1200" w:type="dxa"/>
            <w:vAlign w:val="bottom"/>
            <w:tcBorders>
              <w:bottom w:val="single" w:sz="8" w:color="auto"/>
            </w:tcBorders>
          </w:tcPr>
          <w:p>
            <w:pPr>
              <w:spacing w:after="0"/>
              <w:rPr>
                <w:sz w:val="18"/>
                <w:szCs w:val="18"/>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4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48 %</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47 %</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29</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8</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2</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48"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$15.1 million and $13.8 million as of June 30, 2022 and December 31, 2021, respectively. Revenues recognized during the six months ended June 30, 2022 that were included in the customer deposit balance as of the beginning of the period were $13.2 million.</w:t>
      </w:r>
    </w:p>
    <w:p>
      <w:pPr>
        <w:spacing w:after="0" w:line="14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Company extends financing to qualified professional customers who apply for credit. Customers who qualify for an account receive 30-day payment terms. The accounts receivable balance was $4.2 million and $3.2 million at June 30, 2022 and December 31, 2021,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48"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accrued liability and the estimated value of the inventory that will be returned as an other current asset in the Consolidated Balance Sheet. The components of the sales returns reserve reflected in the Consolidated Balance Sheets as of June 30, 2022 and December 31, 2021 were as follows:</w:t>
      </w: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850"/>
              <w:spacing w:after="0" w:line="177"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accrued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6,353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5,202</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2,100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1,658</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4,253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June 30, 2022 and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108,536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95,869</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1,503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110,039</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97,175</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$0.6 million and $0.5 million as of June 30, 2022 and December 31, 2021, respectively.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Company's effective tax rate on net income before taxes for the three months ended June 30, 2022 and 2021 was 27.8% and 26.4%, respectively. The Company’s effective tax rate for the six months ended June 30, 2022 and 2021 was 25.8% and 24.1%, respectively. For the three months ended June 30, 2022 and 2021, the Company recorded a provision for income taxes of $2.7 million and $2.0 million, respectively. The increase in the provision for income taxes was due to higher pretax earnings in the quarter. For the six months ended June 30, 2022 and 2021, the Company recorded a provision for income taxes of $3.6 million and $3.4 million, respectively. The increase in the provision for income taxes was due to a decrease in the tax benefits recognized with respect to restricted stock vestings.</w:t>
      </w:r>
    </w:p>
    <w:p>
      <w:pPr>
        <w:spacing w:after="0" w:line="148"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both June 30, 2022 and 2021, the Company had not recognized any liabilities for uncertain tax positions, nor had interest and penalties related to uncertain tax positions been accrued.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gridSpan w:val="14"/>
            <w:vMerge w:val="restart"/>
          </w:tcPr>
          <w:p>
            <w:pPr>
              <w:jc w:val="right"/>
              <w:ind w:right="87"/>
              <w:spacing w:after="0"/>
              <w:rPr>
                <w:sz w:val="20"/>
                <w:szCs w:val="20"/>
                <w:color w:val="auto"/>
              </w:rPr>
            </w:pPr>
            <w:r>
              <w:rPr>
                <w:rFonts w:ascii="Arial" w:cs="Arial" w:eastAsia="Arial" w:hAnsi="Arial"/>
                <w:sz w:val="18"/>
                <w:szCs w:val="18"/>
                <w:color w:val="auto"/>
              </w:rPr>
              <w:t>(dollars in thousands, except per share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60" w:type="dxa"/>
            <w:vAlign w:val="bottom"/>
            <w:gridSpan w:val="14"/>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ind w:left="100"/>
              <w:spacing w:after="0" w:line="189" w:lineRule="exact"/>
              <w:rPr>
                <w:sz w:val="20"/>
                <w:szCs w:val="20"/>
                <w:color w:val="auto"/>
              </w:rPr>
            </w:pPr>
            <w:r>
              <w:rPr>
                <w:rFonts w:ascii="Arial" w:cs="Arial" w:eastAsia="Arial" w:hAnsi="Arial"/>
                <w:sz w:val="18"/>
                <w:szCs w:val="18"/>
                <w:color w:val="auto"/>
              </w:rPr>
              <w:t>For the three months ended</w:t>
            </w:r>
          </w:p>
        </w:tc>
        <w:tc>
          <w:tcPr>
            <w:tcW w:w="120" w:type="dxa"/>
            <w:vAlign w:val="bottom"/>
          </w:tcPr>
          <w:p>
            <w:pPr>
              <w:spacing w:after="0"/>
              <w:rPr>
                <w:sz w:val="16"/>
                <w:szCs w:val="16"/>
                <w:color w:val="auto"/>
              </w:rPr>
            </w:pPr>
          </w:p>
        </w:tc>
        <w:tc>
          <w:tcPr>
            <w:tcW w:w="2420" w:type="dxa"/>
            <w:vAlign w:val="bottom"/>
            <w:gridSpan w:val="8"/>
          </w:tcPr>
          <w:p>
            <w:pPr>
              <w:jc w:val="right"/>
              <w:ind w:right="270"/>
              <w:spacing w:after="0" w:line="189" w:lineRule="exact"/>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2022</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6,914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8"/>
                <w:szCs w:val="18"/>
                <w:color w:val="auto"/>
              </w:rPr>
              <w:t>10,427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50,890,063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3"/>
              </w:rPr>
              <w:t>50,259,945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50,802,423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0"/>
              </w:rPr>
              <w:t>50,183,310</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7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363,480</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1,074,004</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412,184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999,949</w:t>
            </w: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51,253,543</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3"/>
              </w:rPr>
              <w:t>51,333,949</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line="182" w:lineRule="exact"/>
              <w:rPr>
                <w:sz w:val="20"/>
                <w:szCs w:val="20"/>
                <w:color w:val="auto"/>
              </w:rPr>
            </w:pPr>
            <w:r>
              <w:rPr>
                <w:rFonts w:ascii="Arial" w:cs="Arial" w:eastAsia="Arial" w:hAnsi="Arial"/>
                <w:sz w:val="18"/>
                <w:szCs w:val="18"/>
                <w:color w:val="auto"/>
              </w:rPr>
              <w:t>51,214,607</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51,183,259</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per common share:</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0.14</w:t>
            </w:r>
          </w:p>
        </w:tc>
        <w:tc>
          <w:tcPr>
            <w:tcW w:w="44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0.21</w:t>
            </w:r>
          </w:p>
        </w:tc>
        <w:tc>
          <w:tcPr>
            <w:tcW w:w="60" w:type="dxa"/>
            <w:vAlign w:val="bottom"/>
          </w:tcPr>
          <w:p>
            <w:pPr>
              <w:spacing w:after="0"/>
              <w:rPr>
                <w:sz w:val="16"/>
                <w:szCs w:val="16"/>
                <w:color w:val="auto"/>
              </w:rPr>
            </w:pPr>
          </w:p>
        </w:tc>
        <w:tc>
          <w:tcPr>
            <w:tcW w:w="340" w:type="dxa"/>
            <w:vAlign w:val="bottom"/>
            <w:gridSpan w:val="2"/>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940" w:type="dxa"/>
            <w:vAlign w:val="bottom"/>
            <w:gridSpan w:val="2"/>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0.13</w:t>
            </w:r>
          </w:p>
        </w:tc>
        <w:tc>
          <w:tcPr>
            <w:tcW w:w="4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7"/>
              </w:rPr>
              <w:t>Anti-dilutive securities excluded from earnings per share calculation</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1,525,521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945,695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1,078,597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976,607</w:t>
            </w: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7"/>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June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right"/>
              <w:ind w:right="90"/>
              <w:spacing w:after="0" w:line="18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2022</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15,084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6,353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7,417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4,256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8,126</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183"/>
        </w:trPr>
        <w:tc>
          <w:tcPr>
            <w:tcW w:w="524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41,236</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gridSpan w:val="2"/>
          </w:tcPr>
          <w:p>
            <w:pPr>
              <w:jc w:val="right"/>
              <w:ind w:right="40"/>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September 18, 2018, Holdings and its operating subsidiary, The Tile Shop, LLC, entered into a Credit Agreement with Bank of America, N.A., Fifth Third Bank and Citizens Bank, which was amended November 16, 2021 (as amended,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June 30, 2022, the base interest rate was 5.50% and the LIBOR-based interest rate was 3.54%. The Company had $5.0 million of borrowings outstanding on its revolving line of credit as of June 30, 2022. In addition, the Company has standby letters of credit outstanding related to its workers’ compensation and medical insurance policies. Standby letters of credit totaled $2.4 million as of both June 30, 2022 and December 31, 2021. There was $92.6 million available for borrowing on the revolving line of credit as of June 30, 2022, which may be used to support the Company’s growth and for working capital purposes.</w:t>
      </w:r>
    </w:p>
    <w:p>
      <w:pPr>
        <w:spacing w:after="0" w:line="13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June 30,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an initial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3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Classification</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June 30, 2022</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3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3000" w:type="dxa"/>
            <w:vAlign w:val="bottom"/>
          </w:tcPr>
          <w:p>
            <w:pPr>
              <w:ind w:left="580"/>
              <w:spacing w:after="0" w:line="189" w:lineRule="exact"/>
              <w:rPr>
                <w:sz w:val="20"/>
                <w:szCs w:val="20"/>
                <w:color w:val="auto"/>
              </w:rPr>
            </w:pPr>
            <w:r>
              <w:rPr>
                <w:rFonts w:ascii="Arial" w:cs="Arial" w:eastAsia="Arial" w:hAnsi="Arial"/>
                <w:sz w:val="18"/>
                <w:szCs w:val="18"/>
                <w:color w:val="auto"/>
              </w:rPr>
              <w:t>Right of use asset</w:t>
            </w:r>
          </w:p>
        </w:tc>
        <w:tc>
          <w:tcPr>
            <w:tcW w:w="1320" w:type="dxa"/>
            <w:vAlign w:val="bottom"/>
            <w:gridSpan w:val="6"/>
          </w:tcPr>
          <w:p>
            <w:pPr>
              <w:jc w:val="right"/>
              <w:ind w:right="287"/>
              <w:spacing w:after="0" w:line="189" w:lineRule="exact"/>
              <w:rPr>
                <w:sz w:val="20"/>
                <w:szCs w:val="20"/>
                <w:color w:val="auto"/>
              </w:rPr>
            </w:pPr>
            <w:r>
              <w:rPr>
                <w:rFonts w:ascii="Arial" w:cs="Arial" w:eastAsia="Arial" w:hAnsi="Arial"/>
                <w:sz w:val="18"/>
                <w:szCs w:val="18"/>
                <w:color w:val="auto"/>
              </w:rPr>
              <w:t>$</w:t>
            </w:r>
          </w:p>
        </w:tc>
        <w:tc>
          <w:tcPr>
            <w:tcW w:w="2020" w:type="dxa"/>
            <w:vAlign w:val="bottom"/>
          </w:tcPr>
          <w:p>
            <w:pPr>
              <w:jc w:val="right"/>
              <w:spacing w:after="0" w:line="189" w:lineRule="exact"/>
              <w:rPr>
                <w:sz w:val="20"/>
                <w:szCs w:val="20"/>
                <w:color w:val="auto"/>
              </w:rPr>
            </w:pPr>
            <w:r>
              <w:rPr>
                <w:rFonts w:ascii="Arial" w:cs="Arial" w:eastAsia="Arial" w:hAnsi="Arial"/>
                <w:sz w:val="18"/>
                <w:szCs w:val="18"/>
                <w:color w:val="auto"/>
              </w:rPr>
              <w:t>116,961</w:t>
            </w:r>
          </w:p>
        </w:tc>
        <w:tc>
          <w:tcPr>
            <w:tcW w:w="420" w:type="dxa"/>
            <w:vAlign w:val="bottom"/>
            <w:gridSpan w:val="6"/>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123,101</w:t>
            </w:r>
          </w:p>
        </w:tc>
        <w:tc>
          <w:tcPr>
            <w:tcW w:w="0" w:type="dxa"/>
            <w:vAlign w:val="bottom"/>
          </w:tcPr>
          <w:p>
            <w:pPr>
              <w:spacing w:after="0"/>
              <w:rPr>
                <w:sz w:val="1"/>
                <w:szCs w:val="1"/>
                <w:color w:val="auto"/>
              </w:rPr>
            </w:pPr>
          </w:p>
        </w:tc>
      </w:tr>
      <w:tr>
        <w:trPr>
          <w:trHeight w:val="183"/>
        </w:trPr>
        <w:tc>
          <w:tcPr>
            <w:tcW w:w="24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30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gridSpan w:val="3"/>
            <w:shd w:val="clear" w:color="auto" w:fill="CCEEFF"/>
          </w:tcPr>
          <w:p>
            <w:pPr>
              <w:jc w:val="right"/>
              <w:ind w:right="287"/>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116,961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123,101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30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3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00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w w:val="97"/>
              </w:rPr>
              <w:t>Current portion of lease liability</w:t>
            </w:r>
          </w:p>
        </w:tc>
        <w:tc>
          <w:tcPr>
            <w:tcW w:w="1320" w:type="dxa"/>
            <w:vAlign w:val="bottom"/>
            <w:gridSpan w:val="6"/>
            <w:shd w:val="clear" w:color="auto" w:fill="CCEEFF"/>
          </w:tcPr>
          <w:p>
            <w:pPr>
              <w:jc w:val="right"/>
              <w:ind w:right="287"/>
              <w:spacing w:after="0" w:line="189" w:lineRule="exact"/>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28,126</w:t>
            </w:r>
          </w:p>
        </w:tc>
        <w:tc>
          <w:tcPr>
            <w:tcW w:w="420" w:type="dxa"/>
            <w:vAlign w:val="bottom"/>
            <w:gridSpan w:val="6"/>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28,190</w:t>
            </w: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3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00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rPr>
              <w:t>Long-term lease liability, net</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102,656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110,261</w:t>
            </w:r>
          </w:p>
        </w:tc>
        <w:tc>
          <w:tcPr>
            <w:tcW w:w="0" w:type="dxa"/>
            <w:vAlign w:val="bottom"/>
          </w:tcPr>
          <w:p>
            <w:pPr>
              <w:spacing w:after="0"/>
              <w:rPr>
                <w:sz w:val="1"/>
                <w:szCs w:val="1"/>
                <w:color w:val="auto"/>
              </w:rPr>
            </w:pP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3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auto"/>
            </w:tcBorders>
            <w:gridSpan w:val="3"/>
          </w:tcPr>
          <w:p>
            <w:pPr>
              <w:jc w:val="right"/>
              <w:ind w:right="287"/>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130,782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2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138,451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gridSpan w:val="8"/>
          </w:tcPr>
          <w:p>
            <w:pPr>
              <w:jc w:val="right"/>
              <w:ind w:right="165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30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Classification</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June 30, 2022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000" w:type="dxa"/>
            <w:vAlign w:val="bottom"/>
            <w:shd w:val="clear" w:color="auto" w:fill="CCEEFF"/>
          </w:tcPr>
          <w:p>
            <w:pPr>
              <w:ind w:left="600"/>
              <w:spacing w:after="0" w:line="182" w:lineRule="exact"/>
              <w:rPr>
                <w:sz w:val="20"/>
                <w:szCs w:val="20"/>
                <w:color w:val="auto"/>
              </w:rPr>
            </w:pPr>
            <w:r>
              <w:rPr>
                <w:rFonts w:ascii="Arial" w:cs="Arial" w:eastAsia="Arial" w:hAnsi="Arial"/>
                <w:sz w:val="18"/>
                <w:szCs w:val="18"/>
                <w:color w:val="auto"/>
              </w:rPr>
              <w:t>SG&amp;A expenses</w:t>
            </w:r>
          </w:p>
        </w:tc>
        <w:tc>
          <w:tcPr>
            <w:tcW w:w="820" w:type="dxa"/>
            <w:vAlign w:val="bottom"/>
            <w:gridSpan w:val="2"/>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440" w:type="dxa"/>
            <w:vAlign w:val="bottom"/>
            <w:gridSpan w:val="2"/>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8,611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8,533</w:t>
            </w:r>
          </w:p>
        </w:tc>
        <w:tc>
          <w:tcPr>
            <w:tcW w:w="0" w:type="dxa"/>
            <w:vAlign w:val="bottom"/>
          </w:tcPr>
          <w:p>
            <w:pPr>
              <w:spacing w:after="0"/>
              <w:rPr>
                <w:sz w:val="1"/>
                <w:szCs w:val="1"/>
                <w:color w:val="auto"/>
              </w:rPr>
            </w:pPr>
          </w:p>
        </w:tc>
      </w:tr>
      <w:tr>
        <w:trPr>
          <w:trHeight w:val="257"/>
        </w:trPr>
        <w:tc>
          <w:tcPr>
            <w:tcW w:w="24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000" w:type="dxa"/>
            <w:vAlign w:val="bottom"/>
          </w:tcPr>
          <w:p>
            <w:pPr>
              <w:ind w:left="600"/>
              <w:spacing w:after="0"/>
              <w:rPr>
                <w:sz w:val="20"/>
                <w:szCs w:val="20"/>
                <w:color w:val="auto"/>
              </w:rPr>
            </w:pPr>
            <w:r>
              <w:rPr>
                <w:rFonts w:ascii="Arial" w:cs="Arial" w:eastAsia="Arial" w:hAnsi="Arial"/>
                <w:sz w:val="18"/>
                <w:szCs w:val="18"/>
                <w:color w:val="auto"/>
              </w:rPr>
              <w:t>SG&amp;A expenses</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3,557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300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SG&amp;A expenses</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300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4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12,278</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3"/>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11,960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gridSpan w:val="8"/>
          </w:tcPr>
          <w:p>
            <w:pPr>
              <w:jc w:val="right"/>
              <w:ind w:right="17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30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Classification</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June 30, 2022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June 30, 2021</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000" w:type="dxa"/>
            <w:vAlign w:val="bottom"/>
            <w:shd w:val="clear" w:color="auto" w:fill="CCEEFF"/>
          </w:tcPr>
          <w:p>
            <w:pPr>
              <w:ind w:left="600"/>
              <w:spacing w:after="0" w:line="182" w:lineRule="exact"/>
              <w:rPr>
                <w:sz w:val="20"/>
                <w:szCs w:val="20"/>
                <w:color w:val="auto"/>
              </w:rPr>
            </w:pPr>
            <w:r>
              <w:rPr>
                <w:rFonts w:ascii="Arial" w:cs="Arial" w:eastAsia="Arial" w:hAnsi="Arial"/>
                <w:sz w:val="18"/>
                <w:szCs w:val="18"/>
                <w:color w:val="auto"/>
              </w:rPr>
              <w:t>SG&amp;A expenses</w:t>
            </w:r>
          </w:p>
        </w:tc>
        <w:tc>
          <w:tcPr>
            <w:tcW w:w="820" w:type="dxa"/>
            <w:vAlign w:val="bottom"/>
            <w:gridSpan w:val="2"/>
            <w:shd w:val="clear" w:color="auto" w:fill="CCEEFF"/>
          </w:tcPr>
          <w:p>
            <w:pPr>
              <w:spacing w:after="0"/>
              <w:rPr>
                <w:sz w:val="15"/>
                <w:szCs w:val="15"/>
                <w:color w:val="auto"/>
              </w:rPr>
            </w:pPr>
          </w:p>
        </w:tc>
        <w:tc>
          <w:tcPr>
            <w:tcW w:w="80" w:type="dxa"/>
            <w:vAlign w:val="bottom"/>
            <w:gridSpan w:val="3"/>
            <w:shd w:val="clear" w:color="auto" w:fill="CCEEFF"/>
          </w:tcPr>
          <w:p>
            <w:pPr>
              <w:spacing w:after="0"/>
              <w:rPr>
                <w:sz w:val="15"/>
                <w:szCs w:val="15"/>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17,282</w:t>
            </w:r>
          </w:p>
        </w:tc>
        <w:tc>
          <w:tcPr>
            <w:tcW w:w="40" w:type="dxa"/>
            <w:vAlign w:val="bottom"/>
            <w:gridSpan w:val="2"/>
            <w:shd w:val="clear" w:color="auto" w:fill="CCEEFF"/>
          </w:tcPr>
          <w:p>
            <w:pPr>
              <w:spacing w:after="0"/>
              <w:rPr>
                <w:sz w:val="15"/>
                <w:szCs w:val="15"/>
                <w:color w:val="auto"/>
              </w:rPr>
            </w:pPr>
          </w:p>
        </w:tc>
        <w:tc>
          <w:tcPr>
            <w:tcW w:w="60" w:type="dxa"/>
            <w:vAlign w:val="bottom"/>
            <w:gridSpan w:val="3"/>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17,011</w:t>
            </w:r>
          </w:p>
        </w:tc>
        <w:tc>
          <w:tcPr>
            <w:tcW w:w="0" w:type="dxa"/>
            <w:vAlign w:val="bottom"/>
          </w:tcPr>
          <w:p>
            <w:pPr>
              <w:spacing w:after="0"/>
              <w:rPr>
                <w:sz w:val="1"/>
                <w:szCs w:val="1"/>
                <w:color w:val="auto"/>
              </w:rPr>
            </w:pPr>
          </w:p>
        </w:tc>
      </w:tr>
      <w:tr>
        <w:trPr>
          <w:trHeight w:val="257"/>
        </w:trPr>
        <w:tc>
          <w:tcPr>
            <w:tcW w:w="24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000" w:type="dxa"/>
            <w:vAlign w:val="bottom"/>
          </w:tcPr>
          <w:p>
            <w:pPr>
              <w:ind w:left="600"/>
              <w:spacing w:after="0"/>
              <w:rPr>
                <w:sz w:val="20"/>
                <w:szCs w:val="20"/>
                <w:color w:val="auto"/>
              </w:rPr>
            </w:pPr>
            <w:r>
              <w:rPr>
                <w:rFonts w:ascii="Arial" w:cs="Arial" w:eastAsia="Arial" w:hAnsi="Arial"/>
                <w:sz w:val="18"/>
                <w:szCs w:val="18"/>
                <w:color w:val="auto"/>
              </w:rPr>
              <w:t>SG&amp;A expenses</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6,960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300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SG&amp;A expenses</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242</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3000" w:type="dxa"/>
            <w:vAlign w:val="bottom"/>
          </w:tcPr>
          <w:p>
            <w:pPr>
              <w:spacing w:after="0"/>
              <w:rPr>
                <w:sz w:val="15"/>
                <w:szCs w:val="15"/>
                <w:color w:val="auto"/>
              </w:rPr>
            </w:pPr>
          </w:p>
        </w:tc>
        <w:tc>
          <w:tcPr>
            <w:tcW w:w="900" w:type="dxa"/>
            <w:vAlign w:val="bottom"/>
            <w:gridSpan w:val="5"/>
          </w:tcPr>
          <w:p>
            <w:pPr>
              <w:spacing w:after="0"/>
              <w:rPr>
                <w:sz w:val="15"/>
                <w:szCs w:val="15"/>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24,484</w:t>
            </w:r>
          </w:p>
        </w:tc>
        <w:tc>
          <w:tcPr>
            <w:tcW w:w="40" w:type="dxa"/>
            <w:vAlign w:val="bottom"/>
            <w:tcBorders>
              <w:bottom w:val="single" w:sz="8" w:color="auto"/>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24,269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vMerge w:val="restart"/>
          </w:tcPr>
          <w:p>
            <w:pPr>
              <w:jc w:val="right"/>
              <w:ind w:right="4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ind w:left="260" w:hanging="215"/>
        <w:spacing w:after="0"/>
        <w:tabs>
          <w:tab w:leader="none" w:pos="2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Variable lease cost consist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gridSpan w:val="3"/>
          </w:tcPr>
          <w:p>
            <w:pPr>
              <w:jc w:val="right"/>
              <w:spacing w:after="0" w:line="175" w:lineRule="exact"/>
              <w:rPr>
                <w:sz w:val="20"/>
                <w:szCs w:val="20"/>
                <w:color w:val="auto"/>
              </w:rPr>
            </w:pPr>
            <w:r>
              <w:rPr>
                <w:rFonts w:ascii="Arial" w:cs="Arial" w:eastAsia="Arial" w:hAnsi="Arial"/>
                <w:sz w:val="18"/>
                <w:szCs w:val="18"/>
                <w:color w:val="auto"/>
              </w:rPr>
              <w:t>Six Months Ended</w:t>
            </w:r>
          </w:p>
        </w:tc>
        <w:tc>
          <w:tcPr>
            <w:tcW w:w="1380" w:type="dxa"/>
            <w:vAlign w:val="bottom"/>
          </w:tcPr>
          <w:p>
            <w:pPr>
              <w:spacing w:after="0"/>
              <w:rPr>
                <w:sz w:val="15"/>
                <w:szCs w:val="15"/>
                <w:color w:val="auto"/>
              </w:rPr>
            </w:pPr>
          </w:p>
        </w:tc>
      </w:tr>
      <w:tr>
        <w:trPr>
          <w:trHeight w:val="217"/>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 (in thousands)</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June 30, 2022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7"/>
              </w:rPr>
              <w:t>June 30, 2021</w:t>
            </w:r>
          </w:p>
        </w:tc>
      </w:tr>
      <w:tr>
        <w:trPr>
          <w:trHeight w:val="183"/>
        </w:trPr>
        <w:tc>
          <w:tcPr>
            <w:tcW w:w="7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9"/>
        </w:trPr>
        <w:tc>
          <w:tcPr>
            <w:tcW w:w="708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4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18,754</w:t>
            </w:r>
          </w:p>
        </w:tc>
        <w:tc>
          <w:tcPr>
            <w:tcW w:w="680" w:type="dxa"/>
            <w:vAlign w:val="bottom"/>
            <w:gridSpan w:val="2"/>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18,283</w:t>
            </w:r>
          </w:p>
        </w:tc>
      </w:tr>
      <w:tr>
        <w:trPr>
          <w:trHeight w:val="189"/>
        </w:trPr>
        <w:tc>
          <w:tcPr>
            <w:tcW w:w="7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Lease right-of-use assets obtained or modified in exchange for lease obligations</w:t>
            </w:r>
          </w:p>
        </w:tc>
        <w:tc>
          <w:tcPr>
            <w:tcW w:w="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6,876</w:t>
            </w:r>
          </w:p>
        </w:tc>
        <w:tc>
          <w:tcPr>
            <w:tcW w:w="6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June 30, 2022 and December 31, 2021 according to the valuation techniques the Company uses to determine their fair values. There have been no transfers of assets among the fair value hierarchies presented.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June 30, 2022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3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10,506</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4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The Company did not record any impairment losses during the three and six months ended June 30, 2022 and 2021.</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7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measures and recognizes compensation expense for all stock based awards at fair value. The financial statements for the three and six months ended June 30, 2022 and 2021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less than $0.1 million for the three months ended June 30, 2022 and $0.1 million for the three months ended June 30 2021. Total stock based compensation expense related to stock options was $0.1 million and $0.2 million for the six months ended June 30, 2022 and 2021, respectively. Stock based compensation expense pertaining to stock options is included in selling, general and administrative expenses in the accompanying Consolidated Statements of Operations.</w:t>
      </w:r>
    </w:p>
    <w:p>
      <w:pPr>
        <w:spacing w:after="0" w:line="14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As of June 30, 2022, the Company had outstanding stock options to purchase 858,445 shares of common stock at a weighted average exercise price of $11.05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and $0.6 million for the three months ended June 30, 2022 and 2021, respectively. Total stock based compensation expense related to restricted stock was $1.0 million and $1.1 million for the six months ended June 30, 2022 and 2021, respectively. Stock based compensation expense pertaining to restricted stock awards is included in selling, general and administrative expenses in the accompanying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had 1,313,114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96"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53"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June 30, 2022, the balance of the contribution liability for this arrangement was $0.7 million, of which $0.5 million was classified as other accrued liabilities on the Consolidated Balance Sheet and $0.2 million was classified as other long-term liabilities on the Consolidated Balance Sheet.</w:t>
      </w:r>
    </w:p>
    <w:p>
      <w:pPr>
        <w:spacing w:after="0" w:line="143"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June 30, 2022, the remaining balance in the Investment Fund available for reimbursement to the Company was $0.7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On July 9, 2018, Fumitake Nishi informed the Company he had acquired an ownership interest in one of the Company’s key vendors, Nanyang Helin Stone Co. Ltd (“Nanyang”). Mr. Nishi is a former Company employee and the brother-in-law of Robert A. Rucker, the Company’s former Interim Chief Executive Officer and President, former member of the Company’s Board of Directors, and former holder of more than 5% of the Company’s common stock. Mr. Nishi also has an ownership interest in Tilestyling Co. Ltd (“Tile Style”), a vendor from which the Company started acquiring product in 2020. Nanyang and Tile Style supply the Company with natural stone products, including hand-crafted mosaics, listellos and other accessories.</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During the three months ended June 30, 2022 and 2021, the Company purchased $2.4 million and $1.4 million of products from Nanyang, respectively. During the six months ended June 30, 2022 and 2021, the Company purchased $5.7 million and $3.3 million of products from Nanyang, respectively. As of both June 30, 2022 and 2021 there were no accounts payable due to Nanyang. During the three months ended June 30, 2022 and 2021, the Company purchased $0.4 million and $0.5 million of products from Tile Style, respectively. During the six months ended June 30, 2022 and 2021, the Company purchased $1.6 million and $1.0 million of products from Tile Style, respectively. As of both June 30, 2022 and 2021 there were no accounts payable due to Tile Style.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4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2021 and our consolidated financial statements and related notes appearing elsewhere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 our anticipated new store openings, remodeling plans, and growth opportunities; our business strengths, marketing strategies, competitive advantages and role in our industry and markets; an overall decline in the health of the economy, the tile industry, consumer confidence and spending, and the housing market, including as a result of rising inflation or interest rates or the COVID-19 pandemic; our expectations regarding the potential impacts on our business of the COVID-19 pandemic, including its effect on general economic conditions and credit markets, the supply chain and product availability, labor, and on customer traffic to our stores, as well as the potential duration of the COVID-19 pandemic and adequacy of measures we have taken to attempt to mitigate the impact of the COVID-19 pandemic on our business; the impact of ongoing supply chain disruptions and inflationary cost pressures, including increased materials, labor, and transportation costs and decreased discretionary consumer spending; our ability to successfully implement our strategic plan and the anticipated benefits of our strategic plan; our ability to successfully anticipate consumer trends; any statements with respect to dividends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risks related to relying on foreign suppliers, and the potential impact of the COVID-19 pandemic and the Russia-Ukraine conflict on, among other things, product availability and pricing and timing and cost of deliveries; our expectations with respect to ongoing compliance with the terms of the Credit Agreement (as defined below), including the potential impact of the phase out of LIBOR and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including recent increases in, and ongoing volatility of, gas prices; the potential outcome of any legal proceedings; risks related to ownership of our common stock; and those factors set forth in the section captioned “Risk Factors” in our Annual Report on Form 10-K for the year ended December 31, 2021 and in this Form 10-Q.</w:t>
      </w:r>
    </w:p>
    <w:p>
      <w:pPr>
        <w:spacing w:after="0" w:line="344"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June 30, 2022, we operated 143 stores in 31 states and the District of Columbia, with an average size of approximately 20,000 square feet.</w:t>
      </w:r>
    </w:p>
    <w:p>
      <w:pPr>
        <w:spacing w:after="0" w:line="13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1"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Our business continues to be impacted by a number of macro-economic factors, including the trailing impact of the COVID-19 pandemic. Global supply chains and product availability remain highly challenged and the ongoing Russia-Ukraine conflict has only exacerbated an already difficult operating environment. These factors, combined with higher fuel costs and a highly competitive labor market, have created an inflationary environment and cost pressures.</w:t>
      </w:r>
    </w:p>
    <w:p>
      <w:pPr>
        <w:spacing w:after="0" w:line="148"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regard to consumer demand, since the onset of the COVID-19 pandemic, our business has experienced an increase in demand and sales. It remains unclear, however, if these demand trends will remain intact or if they will revert back to more historical levels over time, particularly as inflation begins to impact discretionary spending. In recent weeks, we have observed a deceleration in our comparable store sales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2022 Quarter Financial Overview</w:t>
      </w:r>
    </w:p>
    <w:p>
      <w:pPr>
        <w:spacing w:after="0" w:line="175" w:lineRule="exact"/>
        <w:rPr>
          <w:sz w:val="20"/>
          <w:szCs w:val="20"/>
          <w:color w:val="auto"/>
        </w:rPr>
      </w:pPr>
    </w:p>
    <w:p>
      <w:pPr>
        <w:jc w:val="both"/>
        <w:ind w:right="80"/>
        <w:spacing w:after="0" w:line="235" w:lineRule="auto"/>
        <w:rPr>
          <w:sz w:val="20"/>
          <w:szCs w:val="20"/>
          <w:color w:val="auto"/>
        </w:rPr>
      </w:pPr>
      <w:r>
        <w:rPr>
          <w:rFonts w:ascii="Arial" w:cs="Arial" w:eastAsia="Arial" w:hAnsi="Arial"/>
          <w:sz w:val="18"/>
          <w:szCs w:val="18"/>
          <w:color w:val="auto"/>
        </w:rPr>
        <w:t>For the three months ended June 30, 2022 and 2021, we reported net sales of $107.6 million and $96.2 million, respectively. Sales increased at comparable stores by 12.0% during the second quarter of 2022 compared to the second quarter of 2021, primarily due to an increase in average ticket driven by higher prices.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about our comparable store sales growth for the three and six months ended June 30, 2022 and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For the three months ended</w:t>
            </w:r>
          </w:p>
        </w:tc>
        <w:tc>
          <w:tcPr>
            <w:tcW w:w="2240" w:type="dxa"/>
            <w:vAlign w:val="bottom"/>
            <w:gridSpan w:val="4"/>
          </w:tcPr>
          <w:p>
            <w:pPr>
              <w:jc w:val="center"/>
              <w:spacing w:after="0"/>
              <w:rPr>
                <w:sz w:val="20"/>
                <w:szCs w:val="20"/>
                <w:color w:val="auto"/>
              </w:rPr>
            </w:pPr>
            <w:r>
              <w:rPr>
                <w:rFonts w:ascii="Arial" w:cs="Arial" w:eastAsia="Arial" w:hAnsi="Arial"/>
                <w:sz w:val="18"/>
                <w:szCs w:val="18"/>
                <w:color w:val="auto"/>
                <w:w w:val="88"/>
              </w:rPr>
              <w:t>For the six months ended</w:t>
            </w:r>
          </w:p>
        </w:tc>
      </w:tr>
      <w:tr>
        <w:trPr>
          <w:trHeight w:val="217"/>
        </w:trPr>
        <w:tc>
          <w:tcPr>
            <w:tcW w:w="648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760" w:type="dxa"/>
            <w:vAlign w:val="bottom"/>
            <w:tcBorders>
              <w:bottom w:val="single" w:sz="8" w:color="auto"/>
            </w:tcBorders>
          </w:tcPr>
          <w:p>
            <w:pPr>
              <w:spacing w:after="0"/>
              <w:rPr>
                <w:sz w:val="18"/>
                <w:szCs w:val="18"/>
                <w:color w:val="auto"/>
              </w:rPr>
            </w:pPr>
          </w:p>
        </w:tc>
      </w:tr>
      <w:tr>
        <w:trPr>
          <w:trHeight w:val="182"/>
        </w:trPr>
        <w:tc>
          <w:tcPr>
            <w:tcW w:w="64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94"/>
              </w:rPr>
              <w:t>2021</w:t>
            </w:r>
          </w:p>
        </w:tc>
      </w:tr>
      <w:tr>
        <w:trPr>
          <w:trHeight w:val="183"/>
        </w:trPr>
        <w:tc>
          <w:tcPr>
            <w:tcW w:w="6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growth (decline)</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11.6 %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16.0%</w:t>
            </w:r>
          </w:p>
        </w:tc>
      </w:tr>
    </w:tbl>
    <w:p>
      <w:pPr>
        <w:spacing w:after="0" w:line="16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continued to experience challenges in our supply chain during the second quarter of 2022. Specifically, we are still seeing an increase in the cost of the products we source from around the world due to vendor price increases in response to inflationary cost pressure. While ocean container rates have started to fall from peak levels, average freight rates remain elevated. We continue to monitor the impact of inflation on the costs of materials, labor, and other costs required to manage our business in order to minimize its effects through pricing strategies, productivity improvements and cost reductions. There can be no assurance, however, that our operating results will not be affected by inflation in the future.</w:t>
      </w:r>
    </w:p>
    <w:p>
      <w:pPr>
        <w:spacing w:after="0" w:line="14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Selling, general and administrative expenses increased by $2.4 million from $58.8 million to $61.2 million during the three months ended June 30, 2021 and 2022, respectively. The increase was primarily due to a $4.0 million increase in pay and benefits expenses excluding bonus expenses due to an increase in staffing levels, sales commissions and benefits costs. Additionally, store occupancy costs increased by $1.0 million due to inflationary cost pressures that resulted in higher common area maintenance, store repair and utility expenses, a $0.7 million increase in marketing expenses and a $0.4 million increase in travel expenses. These expense increases were partially offset by a $3.1 million decrease in bonus expense during the quarter due to a reduction in accruals for annual incentives and lower levels of sales bonuses and a $0.7 million decrease in depreciation expense.</w:t>
      </w:r>
    </w:p>
    <w:p>
      <w:pPr>
        <w:spacing w:after="0" w:line="13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Net cash provided by operating activities was $9.2 million and $42.0 million for the six months ended June 30, 2022 and 2021, respectively. The decrease in cash provided by operating activities was primarily due to an increase in inventory in 2022 and other changes in 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 at the time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takes control of the merchandise or final delivery of the product has occurred. We are required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jc w:val="both"/>
        <w:ind w:right="480"/>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June 30, 2022 to the three months ended June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40" w:type="dxa"/>
            <w:vAlign w:val="bottom"/>
            <w:gridSpan w:val="3"/>
          </w:tcPr>
          <w:p>
            <w:pPr>
              <w:ind w:left="260"/>
              <w:spacing w:after="0"/>
              <w:rPr>
                <w:sz w:val="20"/>
                <w:szCs w:val="20"/>
                <w:color w:val="auto"/>
              </w:rPr>
            </w:pPr>
            <w:r>
              <w:rPr>
                <w:rFonts w:ascii="Arial" w:cs="Arial" w:eastAsia="Arial" w:hAnsi="Arial"/>
                <w:sz w:val="18"/>
                <w:szCs w:val="18"/>
                <w:color w:val="auto"/>
              </w:rPr>
              <w:t>% of sales</w:t>
            </w:r>
          </w:p>
        </w:tc>
        <w:tc>
          <w:tcPr>
            <w:tcW w:w="480" w:type="dxa"/>
            <w:vAlign w:val="bottom"/>
          </w:tcPr>
          <w:p>
            <w:pPr>
              <w:spacing w:after="0"/>
              <w:rPr>
                <w:sz w:val="21"/>
                <w:szCs w:val="21"/>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107,604</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96,193</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36,586</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29,768</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30.9</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71,018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66,425</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61,240</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56.9</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58,811</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61.1</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9,778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7,614</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(201)</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(145)</w:t>
            </w:r>
          </w:p>
        </w:tc>
        <w:tc>
          <w:tcPr>
            <w:tcW w:w="132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83"/>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9,577</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7,469</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(2,663)</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(1,975)</w:t>
            </w:r>
          </w:p>
        </w:tc>
        <w:tc>
          <w:tcPr>
            <w:tcW w:w="132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6,914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6.4 %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second quarter of 2022 increased $11.4 million, or 11.9%, compared with the second quarter of 2021. Sales increased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stores by 12.0% during the second quarter of 2022 compared to the second quarter of 2021, primarily due to an increase in average ticket driven by higher prices.</w:t>
      </w:r>
    </w:p>
    <w:p>
      <w:pPr>
        <w:spacing w:after="0" w:line="14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second quarter of 2022 increased $4.6 million, or 6.9%, compared with the second quarter of 2021,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sales. The gross margin rate was 66.0% and 69.1% during the second quarter of 2022 and 2021, respectively. The decrease in the gross margin rate was primarily due to an increase in the cost of our products driven by vendor cost increases and higher international freight rates, which were partially offset by an increase in our selling prices.</w:t>
      </w:r>
    </w:p>
    <w:p>
      <w:pPr>
        <w:spacing w:after="0" w:line="14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second quarter of 2022 increased $2.4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4.1%, compared with the second quarter of 2021. The increase was primarily due to a $4.0 million increase in pay and benefits expenses excluding bonus expenses due to an increase in staffing levels, sales commissions and benefits costs. Additionally, store occupancy costs increased by $1.0 million due to inflationary cost pressures that resulted in higher common area maintenance, store repair and utility expenses, a $0.7 million increase in marketing expenses and a $0.4 million increase in travel expenses. These expense increases were partially offset by a $3.1 million decrease in bonus expense during the quarter due to a reduction in accruals for annual incentives and lower levels of sales bonuses and a $0.7 million decrease in depreciation expense.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$0.2 million and $0.1 million for the second quarter of 2022 and 2021, respectively. The increase was due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outstanding debt during the second quarter of 2022 as compared to the second quarter of 2021.</w:t>
      </w:r>
    </w:p>
    <w:p>
      <w:pPr>
        <w:spacing w:after="0" w:line="14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for the second quarter of 2022 increased $0.7 million compared with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The increase in the provision for income tax was largely due to the increase in income before taxes. Our effective tax rate for the three months ended June 30, 2022 and 2021 was 27.8% and 26.4%,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six months ended June 30, 2022 to the six months ended June 30,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7"/>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 of sales</w:t>
            </w:r>
          </w:p>
        </w:tc>
        <w:tc>
          <w:tcPr>
            <w:tcW w:w="440" w:type="dxa"/>
            <w:vAlign w:val="bottom"/>
          </w:tcPr>
          <w:p>
            <w:pPr>
              <w:spacing w:after="0"/>
              <w:rPr>
                <w:sz w:val="18"/>
                <w:szCs w:val="18"/>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2021</w:t>
            </w:r>
          </w:p>
        </w:tc>
        <w:tc>
          <w:tcPr>
            <w:tcW w:w="1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210,075</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188,277</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72,212</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34.4</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57,666</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30.6</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137,863</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65.6</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130,611</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123,349</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58.7</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116,089</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61.7</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14,514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14,522</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(467)</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(313)</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(0.2)%</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14,047</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14,209</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(3,620)</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(3,418)</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(1.8)%</w:t>
            </w: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10,427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5.0 %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5.7 %</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six months ended June 30, 2022 increased $21.8 million, or 11.6%, compared with the six months ended June 30, 2021.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at comparable stores by 11.6% during the six months ended June 30, 2022 when compared to the six months ended June 30, 2021, primarily due to an increase in average ticket driven by higher prices.</w:t>
      </w:r>
    </w:p>
    <w:p>
      <w:pPr>
        <w:spacing w:after="0" w:line="16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2022 increased $7.3 million, or 5.6%, compared with the six months ended June 30, 2021.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rate was 65.6% and 69.4% for the six months ended June 30, 2022 and 2021, respectively. The decrease in the gross margin rate was primarily due to an increase in the cost of our products driven by vendor cost increases and higher international freight rates, which were partially offset by an increase in our selling prices.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six months ended June 30, 2022 increased $7.3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6.3%, compared with the six months ended June 30, 2021. The increase in selling, general, and administrative expenses was primarily due to a $4.8 million increase in pay and benefits, a $1.4 million increase in marketing, a $1.1 million increase in occupancy costs, a $0.8 million increase in software and IT expenses and a $0.7 million increase in travel for store support. The increase in pay and benefits included a $7.6 million increase in wages and benefits resulting from an increase in staffing levels, sales commissions and benefits costs. This increase was partially offset by a $2.8 million decrease in bonus expenses due to a reduction in accruals for annual incentives and a decrease in sales bonuses. Additionally, depreciation expense decreased by $1.4 million during the six months ended June 30, 2022 when compared to the six months ended June 30, 2021.</w:t>
      </w:r>
    </w:p>
    <w:p>
      <w:pPr>
        <w:spacing w:after="0" w:line="17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$0.5 million and $0.3 million for the six months ended June 30, 2022 and 2021, respectively. The increase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increase in outstanding debt during the six months ended June 30, 2022.</w:t>
      </w:r>
    </w:p>
    <w:p>
      <w:pPr>
        <w:spacing w:after="0" w:line="143" w:lineRule="exact"/>
        <w:rPr>
          <w:sz w:val="20"/>
          <w:szCs w:val="20"/>
          <w:color w:val="auto"/>
        </w:rPr>
      </w:pPr>
    </w:p>
    <w:p>
      <w:pPr>
        <w:jc w:val="both"/>
        <w:ind w:right="46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increased $0.2 million for the six months ended June 30, 2022 compared with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2021 due to a decrease in the tax benefits recognized with respect to restricted stock vestings. Our effective tax rate for the six months ended June 30, 2022 and 2021 was 25.8% and 24.1%,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2022 and 2021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gridSpan w:val="6"/>
          </w:tcPr>
          <w:p>
            <w:pPr>
              <w:jc w:val="right"/>
              <w:ind w:right="27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6"/>
          </w:tcPr>
          <w:p>
            <w:pPr>
              <w:jc w:val="right"/>
              <w:spacing w:after="0" w:line="189" w:lineRule="exact"/>
              <w:rPr>
                <w:sz w:val="20"/>
                <w:szCs w:val="20"/>
                <w:color w:val="auto"/>
              </w:rPr>
            </w:pPr>
            <w:r>
              <w:rPr>
                <w:rFonts w:ascii="Arial" w:cs="Arial" w:eastAsia="Arial" w:hAnsi="Arial"/>
                <w:sz w:val="18"/>
                <w:szCs w:val="18"/>
                <w:color w:val="auto"/>
              </w:rPr>
              <w:t>Three Months Ended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color w:val="auto"/>
                <w:w w:val="86"/>
              </w:rPr>
              <w:t>June 30,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198"/>
              <w:spacing w:after="0"/>
              <w:rPr>
                <w:sz w:val="20"/>
                <w:szCs w:val="20"/>
                <w:color w:val="auto"/>
              </w:rPr>
            </w:pPr>
            <w:r>
              <w:rPr>
                <w:rFonts w:ascii="Arial" w:cs="Arial" w:eastAsia="Arial" w:hAnsi="Arial"/>
                <w:sz w:val="18"/>
                <w:szCs w:val="18"/>
                <w:color w:val="auto"/>
              </w:rPr>
              <w:t>% of sales</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gridSpan w:val="2"/>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6,914</w:t>
            </w:r>
          </w:p>
        </w:tc>
        <w:tc>
          <w:tcPr>
            <w:tcW w:w="4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gridSpan w:val="4"/>
            <w:shd w:val="clear" w:color="auto" w:fill="CCEEFF"/>
          </w:tcPr>
          <w:p>
            <w:pPr>
              <w:jc w:val="right"/>
              <w:ind w:right="38"/>
              <w:spacing w:after="0" w:line="182" w:lineRule="exact"/>
              <w:rPr>
                <w:sz w:val="20"/>
                <w:szCs w:val="20"/>
                <w:color w:val="auto"/>
              </w:rPr>
            </w:pPr>
            <w:r>
              <w:rPr>
                <w:rFonts w:ascii="Arial" w:cs="Arial" w:eastAsia="Arial" w:hAnsi="Arial"/>
                <w:sz w:val="18"/>
                <w:szCs w:val="18"/>
                <w:color w:val="auto"/>
              </w:rPr>
              <w:t>6.4 %</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gridSpan w:val="2"/>
            <w:shd w:val="clear" w:color="auto" w:fill="CCEEFF"/>
          </w:tcPr>
          <w:p>
            <w:pPr>
              <w:jc w:val="center"/>
              <w:ind w:right="6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201</w:t>
            </w:r>
          </w:p>
        </w:tc>
        <w:tc>
          <w:tcPr>
            <w:tcW w:w="40" w:type="dxa"/>
            <w:vAlign w:val="bottom"/>
          </w:tcPr>
          <w:p>
            <w:pPr>
              <w:spacing w:after="0"/>
              <w:rPr>
                <w:sz w:val="16"/>
                <w:szCs w:val="16"/>
                <w:color w:val="auto"/>
              </w:rPr>
            </w:pPr>
          </w:p>
        </w:tc>
        <w:tc>
          <w:tcPr>
            <w:tcW w:w="1280" w:type="dxa"/>
            <w:vAlign w:val="bottom"/>
            <w:gridSpan w:val="4"/>
          </w:tcPr>
          <w:p>
            <w:pPr>
              <w:jc w:val="right"/>
              <w:ind w:right="38"/>
              <w:spacing w:after="0" w:line="189" w:lineRule="exact"/>
              <w:rPr>
                <w:sz w:val="20"/>
                <w:szCs w:val="20"/>
                <w:color w:val="auto"/>
              </w:rPr>
            </w:pPr>
            <w:r>
              <w:rPr>
                <w:rFonts w:ascii="Arial" w:cs="Arial" w:eastAsia="Arial" w:hAnsi="Arial"/>
                <w:sz w:val="18"/>
                <w:szCs w:val="18"/>
                <w:color w:val="auto"/>
              </w:rPr>
              <w:t>0.2 %</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6"/>
                <w:szCs w:val="16"/>
                <w:color w:val="auto"/>
              </w:rPr>
            </w:pP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2,663</w:t>
            </w:r>
          </w:p>
        </w:tc>
        <w:tc>
          <w:tcPr>
            <w:tcW w:w="4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ind w:right="38"/>
              <w:spacing w:after="0" w:line="189" w:lineRule="exact"/>
              <w:rPr>
                <w:sz w:val="20"/>
                <w:szCs w:val="20"/>
                <w:color w:val="auto"/>
              </w:rPr>
            </w:pPr>
            <w:r>
              <w:rPr>
                <w:rFonts w:ascii="Arial" w:cs="Arial" w:eastAsia="Arial" w:hAnsi="Arial"/>
                <w:sz w:val="18"/>
                <w:szCs w:val="18"/>
                <w:color w:val="auto"/>
              </w:rPr>
              <w:t>2.5 %</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6,415</w:t>
            </w:r>
          </w:p>
        </w:tc>
        <w:tc>
          <w:tcPr>
            <w:tcW w:w="40" w:type="dxa"/>
            <w:vAlign w:val="bottom"/>
          </w:tcPr>
          <w:p>
            <w:pPr>
              <w:spacing w:after="0"/>
              <w:rPr>
                <w:sz w:val="16"/>
                <w:szCs w:val="16"/>
                <w:color w:val="auto"/>
              </w:rPr>
            </w:pPr>
          </w:p>
        </w:tc>
        <w:tc>
          <w:tcPr>
            <w:tcW w:w="1280" w:type="dxa"/>
            <w:vAlign w:val="bottom"/>
            <w:gridSpan w:val="4"/>
          </w:tcPr>
          <w:p>
            <w:pPr>
              <w:jc w:val="right"/>
              <w:ind w:right="38"/>
              <w:spacing w:after="0" w:line="189" w:lineRule="exact"/>
              <w:rPr>
                <w:sz w:val="20"/>
                <w:szCs w:val="20"/>
                <w:color w:val="auto"/>
              </w:rPr>
            </w:pPr>
            <w:r>
              <w:rPr>
                <w:rFonts w:ascii="Arial" w:cs="Arial" w:eastAsia="Arial" w:hAnsi="Arial"/>
                <w:sz w:val="18"/>
                <w:szCs w:val="18"/>
                <w:color w:val="auto"/>
              </w:rPr>
              <w:t>6.0 %</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7,065</w:t>
            </w:r>
          </w:p>
        </w:tc>
        <w:tc>
          <w:tcPr>
            <w:tcW w:w="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c>
          <w:tcPr>
            <w:tcW w:w="120" w:type="dxa"/>
            <w:vAlign w:val="bottom"/>
          </w:tcPr>
          <w:p>
            <w:pPr>
              <w:spacing w:after="0"/>
              <w:rPr>
                <w:sz w:val="16"/>
                <w:szCs w:val="16"/>
                <w:color w:val="auto"/>
              </w:rPr>
            </w:pP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562</w:t>
            </w:r>
          </w:p>
        </w:tc>
        <w:tc>
          <w:tcPr>
            <w:tcW w:w="4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4"/>
            <w:shd w:val="clear" w:color="auto" w:fill="CCEEFF"/>
          </w:tcPr>
          <w:p>
            <w:pPr>
              <w:jc w:val="right"/>
              <w:ind w:right="38"/>
              <w:spacing w:after="0" w:line="189" w:lineRule="exact"/>
              <w:rPr>
                <w:sz w:val="20"/>
                <w:szCs w:val="20"/>
                <w:color w:val="auto"/>
              </w:rPr>
            </w:pPr>
            <w:r>
              <w:rPr>
                <w:rFonts w:ascii="Arial" w:cs="Arial" w:eastAsia="Arial" w:hAnsi="Arial"/>
                <w:sz w:val="18"/>
                <w:szCs w:val="18"/>
                <w:color w:val="auto"/>
              </w:rPr>
              <w:t>0.5 %</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706</w:t>
            </w:r>
          </w:p>
        </w:tc>
        <w:tc>
          <w:tcPr>
            <w:tcW w:w="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16,755</w:t>
            </w:r>
          </w:p>
        </w:tc>
        <w:tc>
          <w:tcPr>
            <w:tcW w:w="40" w:type="dxa"/>
            <w:vAlign w:val="bottom"/>
          </w:tcPr>
          <w:p>
            <w:pPr>
              <w:spacing w:after="0"/>
              <w:rPr>
                <w:sz w:val="15"/>
                <w:szCs w:val="15"/>
                <w:color w:val="auto"/>
              </w:rPr>
            </w:pPr>
          </w:p>
        </w:tc>
        <w:tc>
          <w:tcPr>
            <w:tcW w:w="1280" w:type="dxa"/>
            <w:vAlign w:val="bottom"/>
            <w:tcBorders>
              <w:bottom w:val="single" w:sz="8" w:color="auto"/>
            </w:tcBorders>
            <w:gridSpan w:val="4"/>
          </w:tcPr>
          <w:p>
            <w:pPr>
              <w:jc w:val="right"/>
              <w:ind w:right="38"/>
              <w:spacing w:after="0" w:line="182" w:lineRule="exact"/>
              <w:rPr>
                <w:sz w:val="20"/>
                <w:szCs w:val="20"/>
                <w:color w:val="auto"/>
              </w:rPr>
            </w:pPr>
            <w:r>
              <w:rPr>
                <w:rFonts w:ascii="Arial" w:cs="Arial" w:eastAsia="Arial" w:hAnsi="Arial"/>
                <w:sz w:val="18"/>
                <w:szCs w:val="18"/>
                <w:color w:val="auto"/>
              </w:rPr>
              <w:t>15.6 %</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bottom w:val="single" w:sz="8" w:color="auto"/>
            </w:tcBorders>
            <w:gridSpan w:val="2"/>
          </w:tcPr>
          <w:p>
            <w:pPr>
              <w:jc w:val="center"/>
              <w:ind w:right="6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w w:val="87"/>
              </w:rPr>
              <w:t>15,385</w:t>
            </w:r>
          </w:p>
        </w:tc>
        <w:tc>
          <w:tcPr>
            <w:tcW w:w="2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6"/>
          </w:tcPr>
          <w:p>
            <w:pPr>
              <w:jc w:val="right"/>
              <w:ind w:right="25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6"/>
          </w:tcPr>
          <w:p>
            <w:pPr>
              <w:jc w:val="center"/>
              <w:ind w:left="410"/>
              <w:spacing w:after="0" w:line="189" w:lineRule="exact"/>
              <w:rPr>
                <w:sz w:val="20"/>
                <w:szCs w:val="20"/>
                <w:color w:val="auto"/>
              </w:rPr>
            </w:pPr>
            <w:r>
              <w:rPr>
                <w:rFonts w:ascii="Arial" w:cs="Arial" w:eastAsia="Arial" w:hAnsi="Arial"/>
                <w:sz w:val="18"/>
                <w:szCs w:val="18"/>
                <w:color w:val="auto"/>
                <w:w w:val="91"/>
              </w:rPr>
              <w:t>Six Months Ended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jc w:val="center"/>
              <w:ind w:right="270"/>
              <w:spacing w:after="0"/>
              <w:rPr>
                <w:sz w:val="20"/>
                <w:szCs w:val="20"/>
                <w:color w:val="auto"/>
              </w:rPr>
            </w:pPr>
            <w:r>
              <w:rPr>
                <w:rFonts w:ascii="Arial" w:cs="Arial" w:eastAsia="Arial" w:hAnsi="Arial"/>
                <w:sz w:val="18"/>
                <w:szCs w:val="18"/>
                <w:color w:val="auto"/>
                <w:w w:val="86"/>
              </w:rPr>
              <w:t>June 30,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gridSpan w:val="2"/>
          </w:tcPr>
          <w:p>
            <w:pPr>
              <w:jc w:val="right"/>
              <w:ind w:right="158"/>
              <w:spacing w:after="0"/>
              <w:rPr>
                <w:sz w:val="20"/>
                <w:szCs w:val="20"/>
                <w:color w:val="auto"/>
              </w:rPr>
            </w:pPr>
            <w:r>
              <w:rPr>
                <w:rFonts w:ascii="Arial" w:cs="Arial" w:eastAsia="Arial" w:hAnsi="Arial"/>
                <w:sz w:val="18"/>
                <w:szCs w:val="18"/>
                <w:color w:val="auto"/>
              </w:rPr>
              <w:t>% of sales</w:t>
            </w:r>
          </w:p>
        </w:tc>
        <w:tc>
          <w:tcPr>
            <w:tcW w:w="1140" w:type="dxa"/>
            <w:vAlign w:val="bottom"/>
            <w:gridSpan w:val="6"/>
          </w:tcPr>
          <w:p>
            <w:pPr>
              <w:jc w:val="right"/>
              <w:ind w:right="18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10,427</w:t>
            </w: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5.0 %</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gridSpan w:val="2"/>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3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10,791</w:t>
            </w:r>
          </w:p>
        </w:tc>
        <w:tc>
          <w:tcPr>
            <w:tcW w:w="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5.7</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467</w:t>
            </w:r>
          </w:p>
        </w:tc>
        <w:tc>
          <w:tcPr>
            <w:tcW w:w="40" w:type="dxa"/>
            <w:vAlign w:val="bottom"/>
          </w:tcPr>
          <w:p>
            <w:pPr>
              <w:spacing w:after="0"/>
              <w:rPr>
                <w:sz w:val="16"/>
                <w:szCs w:val="16"/>
                <w:color w:val="auto"/>
              </w:rPr>
            </w:pPr>
          </w:p>
        </w:tc>
        <w:tc>
          <w:tcPr>
            <w:tcW w:w="128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0.2 %</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313</w:t>
            </w:r>
          </w:p>
        </w:tc>
        <w:tc>
          <w:tcPr>
            <w:tcW w:w="2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0.2</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3,620</w:t>
            </w:r>
          </w:p>
        </w:tc>
        <w:tc>
          <w:tcPr>
            <w:tcW w:w="4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1.7 %</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3,418</w:t>
            </w:r>
          </w:p>
        </w:tc>
        <w:tc>
          <w:tcPr>
            <w:tcW w:w="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12,854</w:t>
            </w:r>
          </w:p>
        </w:tc>
        <w:tc>
          <w:tcPr>
            <w:tcW w:w="40" w:type="dxa"/>
            <w:vAlign w:val="bottom"/>
          </w:tcPr>
          <w:p>
            <w:pPr>
              <w:spacing w:after="0"/>
              <w:rPr>
                <w:sz w:val="16"/>
                <w:szCs w:val="16"/>
                <w:color w:val="auto"/>
              </w:rPr>
            </w:pPr>
          </w:p>
        </w:tc>
        <w:tc>
          <w:tcPr>
            <w:tcW w:w="128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6.1 %</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Arial" w:cs="Arial" w:eastAsia="Arial" w:hAnsi="Arial"/>
                <w:sz w:val="18"/>
                <w:szCs w:val="18"/>
                <w:color w:val="auto"/>
                <w:w w:val="90"/>
              </w:rPr>
              <w:t>14,259</w:t>
            </w:r>
          </w:p>
        </w:tc>
        <w:tc>
          <w:tcPr>
            <w:tcW w:w="20" w:type="dxa"/>
            <w:vAlign w:val="bottom"/>
          </w:tcPr>
          <w:p>
            <w:pPr>
              <w:spacing w:after="0"/>
              <w:rPr>
                <w:sz w:val="16"/>
                <w:szCs w:val="16"/>
                <w:color w:val="auto"/>
              </w:rPr>
            </w:pPr>
          </w:p>
        </w:tc>
        <w:tc>
          <w:tcPr>
            <w:tcW w:w="10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7.6</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1,054</w:t>
            </w:r>
          </w:p>
        </w:tc>
        <w:tc>
          <w:tcPr>
            <w:tcW w:w="40" w:type="dxa"/>
            <w:vAlign w:val="bottom"/>
            <w:shd w:val="clear" w:color="auto" w:fill="CCEEFF"/>
          </w:tcPr>
          <w:p>
            <w:pPr>
              <w:spacing w:after="0"/>
              <w:rPr>
                <w:sz w:val="16"/>
                <w:szCs w:val="16"/>
                <w:color w:val="auto"/>
              </w:rPr>
            </w:pPr>
          </w:p>
        </w:tc>
        <w:tc>
          <w:tcPr>
            <w:tcW w:w="12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0.5 %</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1,299</w:t>
            </w:r>
          </w:p>
        </w:tc>
        <w:tc>
          <w:tcPr>
            <w:tcW w:w="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28,422</w:t>
            </w:r>
          </w:p>
        </w:tc>
        <w:tc>
          <w:tcPr>
            <w:tcW w:w="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13.5 %</w:t>
            </w:r>
          </w:p>
        </w:tc>
        <w:tc>
          <w:tcPr>
            <w:tcW w:w="20" w:type="dxa"/>
            <w:vAlign w:val="bottom"/>
            <w:tcBorders>
              <w:top w:val="single" w:sz="8" w:color="auto"/>
              <w:bottom w:val="single" w:sz="8" w:color="auto"/>
            </w:tcBorders>
          </w:tcPr>
          <w:p>
            <w:pPr>
              <w:spacing w:after="0"/>
              <w:rPr>
                <w:sz w:val="15"/>
                <w:szCs w:val="15"/>
                <w:color w:val="auto"/>
              </w:rPr>
            </w:pPr>
          </w:p>
        </w:tc>
        <w:tc>
          <w:tcPr>
            <w:tcW w:w="60" w:type="dxa"/>
            <w:vAlign w:val="bottom"/>
            <w:gridSpan w:val="2"/>
          </w:tcPr>
          <w:p>
            <w:pPr>
              <w:spacing w:after="0"/>
              <w:rPr>
                <w:sz w:val="15"/>
                <w:szCs w:val="15"/>
                <w:color w:val="auto"/>
              </w:rPr>
            </w:pPr>
          </w:p>
        </w:tc>
        <w:tc>
          <w:tcPr>
            <w:tcW w:w="820" w:type="dxa"/>
            <w:vAlign w:val="bottom"/>
            <w:tcBorders>
              <w:top w:val="single" w:sz="8" w:color="auto"/>
              <w:bottom w:val="single" w:sz="8" w:color="auto"/>
            </w:tcBorders>
          </w:tcPr>
          <w:p>
            <w:pPr>
              <w:jc w:val="right"/>
              <w:ind w:right="63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w w:val="90"/>
              </w:rPr>
              <w:t>30,080</w:t>
            </w:r>
          </w:p>
        </w:tc>
        <w:tc>
          <w:tcPr>
            <w:tcW w:w="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100"/>
              <w:spacing w:after="0" w:line="182" w:lineRule="exact"/>
              <w:rPr>
                <w:sz w:val="20"/>
                <w:szCs w:val="20"/>
                <w:color w:val="auto"/>
              </w:rPr>
            </w:pPr>
            <w:r>
              <w:rPr>
                <w:rFonts w:ascii="Arial" w:cs="Arial" w:eastAsia="Arial" w:hAnsi="Arial"/>
                <w:sz w:val="18"/>
                <w:szCs w:val="18"/>
                <w:color w:val="auto"/>
              </w:rPr>
              <w:t>16.0</w:t>
            </w:r>
          </w:p>
        </w:tc>
        <w:tc>
          <w:tcPr>
            <w:tcW w:w="28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5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7"/>
            <w:vMerge w:val="restart"/>
          </w:tcPr>
          <w:p>
            <w:pPr>
              <w:jc w:val="center"/>
              <w:ind w:right="54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gridSpan w:val="7"/>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6"/>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jc w:val="right"/>
              <w:ind w:right="250"/>
              <w:spacing w:after="0" w:line="250" w:lineRule="exact"/>
              <w:rPr>
                <w:sz w:val="20"/>
                <w:szCs w:val="20"/>
                <w:color w:val="auto"/>
              </w:rPr>
            </w:pPr>
            <w:r>
              <w:rPr>
                <w:rFonts w:ascii="Arial" w:cs="Arial" w:eastAsia="Arial" w:hAnsi="Arial"/>
                <w:sz w:val="17"/>
                <w:szCs w:val="17"/>
                <w:color w:val="auto"/>
                <w:w w:val="88"/>
              </w:rPr>
              <w:t>2022</w:t>
            </w:r>
            <w:r>
              <w:rPr>
                <w:rFonts w:ascii="Arial" w:cs="Arial" w:eastAsia="Arial" w:hAnsi="Arial"/>
                <w:sz w:val="28"/>
                <w:szCs w:val="28"/>
                <w:color w:val="auto"/>
                <w:w w:val="88"/>
                <w:vertAlign w:val="superscript"/>
              </w:rPr>
              <w:t>(1)</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w w:val="92"/>
              </w:rPr>
              <w:t>2021</w:t>
            </w:r>
            <w:r>
              <w:rPr>
                <w:rFonts w:ascii="Arial" w:cs="Arial" w:eastAsia="Arial" w:hAnsi="Arial"/>
                <w:sz w:val="28"/>
                <w:szCs w:val="28"/>
                <w:color w:val="auto"/>
                <w:w w:val="92"/>
                <w:vertAlign w:val="superscript"/>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 (trailing twelve months)</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spacing w:after="0"/>
              <w:rPr>
                <w:sz w:val="15"/>
                <w:szCs w:val="15"/>
                <w:color w:val="auto"/>
              </w:rPr>
            </w:pP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8"/>
                <w:szCs w:val="18"/>
                <w:color w:val="auto"/>
              </w:rPr>
              <w:t>20,602</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20,099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347,424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354,776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6"/>
          </w:tcPr>
          <w:p>
            <w:pPr>
              <w:jc w:val="right"/>
              <w:ind w:right="180"/>
              <w:spacing w:after="0" w:line="189" w:lineRule="exact"/>
              <w:rPr>
                <w:sz w:val="20"/>
                <w:szCs w:val="20"/>
                <w:color w:val="auto"/>
              </w:rPr>
            </w:pPr>
            <w:r>
              <w:rPr>
                <w:rFonts w:ascii="Arial" w:cs="Arial" w:eastAsia="Arial" w:hAnsi="Arial"/>
                <w:sz w:val="18"/>
                <w:szCs w:val="18"/>
                <w:color w:val="auto"/>
              </w:rPr>
              <w:t>(27,257)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(15,946)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6"/>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6"/>
          </w:tcPr>
          <w:p>
            <w:pPr>
              <w:jc w:val="right"/>
              <w:ind w:right="180"/>
              <w:spacing w:after="0" w:line="189" w:lineRule="exact"/>
              <w:rPr>
                <w:sz w:val="20"/>
                <w:szCs w:val="20"/>
                <w:color w:val="auto"/>
              </w:rPr>
            </w:pPr>
            <w:r>
              <w:rPr>
                <w:rFonts w:ascii="Arial" w:cs="Arial" w:eastAsia="Arial" w:hAnsi="Arial"/>
                <w:sz w:val="18"/>
                <w:szCs w:val="18"/>
                <w:color w:val="auto"/>
              </w:rPr>
              <w:t>(41,806)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(42,338)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6"/>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(135,705)</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(147,622)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6"/>
          </w:tcPr>
          <w:p>
            <w:pPr>
              <w:jc w:val="right"/>
              <w:ind w:right="180"/>
              <w:spacing w:after="0" w:line="189" w:lineRule="exact"/>
              <w:rPr>
                <w:sz w:val="20"/>
                <w:szCs w:val="20"/>
                <w:color w:val="auto"/>
              </w:rPr>
            </w:pPr>
            <w:r>
              <w:rPr>
                <w:rFonts w:ascii="Arial" w:cs="Arial" w:eastAsia="Arial" w:hAnsi="Arial"/>
                <w:sz w:val="18"/>
                <w:szCs w:val="18"/>
                <w:color w:val="auto"/>
              </w:rPr>
              <w:t>(4,980)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(4,244)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shd w:val="clear" w:color="auto" w:fill="CCEEFF"/>
          </w:tcPr>
          <w:p>
            <w:pPr>
              <w:jc w:val="right"/>
              <w:spacing w:after="0" w:line="182" w:lineRule="exact"/>
              <w:rPr>
                <w:sz w:val="20"/>
                <w:szCs w:val="20"/>
                <w:color w:val="auto"/>
              </w:rPr>
            </w:pPr>
            <w:r>
              <w:rPr>
                <w:rFonts w:ascii="Arial" w:cs="Arial" w:eastAsia="Arial" w:hAnsi="Arial"/>
                <w:sz w:val="18"/>
                <w:szCs w:val="18"/>
                <w:color w:val="auto"/>
              </w:rPr>
              <w:t>137,229</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144,501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gridSpan w:val="6"/>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15.0 %</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9"/>
        <w:spacing w:after="0" w:line="194" w:lineRule="auto"/>
        <w:tabs>
          <w:tab w:leader="none" w:pos="288"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$10.5 million of cash and cash equivalents at June 30, 2022, our cash flow from operations, and borrowings available under our Credit Agreement. We expect to use this liquidity for purchasing additional merchandise inventory, maintaining our existing stores, and general corporate purposes.</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On September 18, 2018, Holdings and its operating subsidiary, The Tile Shop, LLC, entered into a Credit Agreement with Bank of America, N.A., Fifth Third Bank and Citizens Bank, which was amended November 16, 2021 (as amended,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w:t>
      </w:r>
    </w:p>
    <w:p>
      <w:pPr>
        <w:spacing w:after="0" w:line="3"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1.00%, in each case plus 0.50% to 1.25% depending on our rent adjusted leverage ratio. At June 30, 2022, the base interest rate was 5.50% and the LIBOR-based interest rate was 3.54%. We had $5.0 million outstanding on our revolving line of credit as of June 30, 2022. In addition, we have standby letters of credit outstanding related to our workers’ compensation and medical insurance policies. Standby letters of credit totaled $2.4 million as of both June 30, 2022 and December 31, 2021. There was $92.6 million available for borrowing on the revolving line of credit as of June 30, 2022, which may be used to support our growth and for working capital purposes.</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June 30, 2022.</w:t>
      </w:r>
    </w:p>
    <w:p>
      <w:pPr>
        <w:spacing w:after="0" w:line="151" w:lineRule="exact"/>
        <w:rPr>
          <w:sz w:val="20"/>
          <w:szCs w:val="20"/>
          <w:color w:val="auto"/>
        </w:rPr>
      </w:pPr>
    </w:p>
    <w:p>
      <w:pPr>
        <w:jc w:val="both"/>
        <w:ind w:right="80"/>
        <w:spacing w:after="0" w:line="307"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Capital expenditures were $7.4 million and $6.2 million for the six months ended June 30, 2022 and 2021, respectively. Capital expenditures in 2022 were primarily due to investments in store remodels, merchandising, distribution and information technology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six months ended June 30, 2022 and 2021.</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Six Months Ended</w:t>
      </w:r>
    </w:p>
    <w:p>
      <w:pPr>
        <w:jc w:val="center"/>
        <w:ind w:left="8320"/>
        <w:spacing w:after="0" w:line="233" w:lineRule="auto"/>
        <w:rPr>
          <w:sz w:val="20"/>
          <w:szCs w:val="20"/>
          <w:color w:val="auto"/>
        </w:rPr>
      </w:pPr>
      <w:r>
        <w:rPr>
          <w:rFonts w:ascii="Arial" w:cs="Arial" w:eastAsia="Arial" w:hAnsi="Arial"/>
          <w:sz w:val="18"/>
          <w:szCs w:val="18"/>
          <w:color w:val="auto"/>
        </w:rPr>
        <w:t>June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9,223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41,985</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(7,361)</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(6,157)</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Net cash provided by operating activities during the six months ended June 30, 2022 was $9.2 million compared with $42.0 million during the six months ended June 30, 2021. The decrease was primarily attributable to an increase in inventory purchases in 2022 and other working capital changes.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Net cash used in investing activities totaled $7.4 million for the six months ended June 30, 2022 compared with $6.2 million for the six months ended June 30, 2021. Cash used in investing activities during the six months ended June 30, 2022 was primarily due to investments in store remodels, merchandising, distribution and information technology assets.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Net cash used in financing activities was $0.7 million for both the six months ended June 30, 2022 and 2021 and was primarily due to tax payments made in exchange for shares withheld from restricted share vestings.</w:t>
      </w:r>
    </w:p>
    <w:p>
      <w:pPr>
        <w:spacing w:after="0" w:line="14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Cash and cash equivalents totaled $10.5 million at June 30, 2022 compared with $9.4 million at December 31, 2021. Working capital was $42.2 million at June 30, 2022 compared with $29.4 million at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We are currently evaluating the impact this guidance will have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420"/>
        <w:spacing w:after="0" w:line="258"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June 30, 2022 and concluded that our disclosure controls and procedures were effective as of the end of the period covered by this Quarterly Report on 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There were no changes in internal control over financial reporting (as defined by Rule 13a-15(f) under the Exchange Act) during the quarter ended June 30, 2022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2021, other than with respect to the risk factor discussed below.</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Numerous economic factors, including inflation, our exposure to the U.S. housing industry, and the potential for a decrease in consumer spending, could adversely affect us.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Economic conditions, including inflation and weakness in the U.S. housing industry, could decrease consumer discretionary spending and adversely affect our financial performance. Consumer prices have experienced their largest percentage increases since 1981, and interest rates have begun to increase. We believe that our tile sales are affected by the strength of the U.S. housing industry. Downturns in the U.S. housing industry could have a material adverse effect on our financial results, business, and prospects. Similarly, a substantial portion of the products we offer are products that consumers may view as discretionary items rather than necessities. As a result, our results of operations are sensitive to changes in macroeconomic conditions that affect consumer spending, including discretionary spending. Difficult macroeconomic conditions also affect our customers' ability to obtain consumer credit. Other factors, including consumer confidence, employment levels, interest rates, tax rates, consumer debt levels, and fuel and energy costs could reduce consumer spending or change consumer purchasing habits. Accordingly, slowdowns in the U.S. or global economy, or an uncertain economic outlook, could materially adversely affect consumer spending habits and could have a material adverse effect on our financial results, business, and prospects.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8"/>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04"/>
        </w:trPr>
        <w:tc>
          <w:tcPr>
            <w:tcW w:w="4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Total Number of</w:t>
            </w:r>
          </w:p>
        </w:tc>
        <w:tc>
          <w:tcPr>
            <w:tcW w:w="1460" w:type="dxa"/>
            <w:vAlign w:val="bottom"/>
          </w:tcPr>
          <w:p>
            <w:pPr>
              <w:jc w:val="right"/>
              <w:spacing w:after="0"/>
              <w:rPr>
                <w:sz w:val="20"/>
                <w:szCs w:val="20"/>
                <w:color w:val="auto"/>
              </w:rPr>
            </w:pPr>
            <w:r>
              <w:rPr>
                <w:rFonts w:ascii="Arial" w:cs="Arial" w:eastAsia="Arial" w:hAnsi="Arial"/>
                <w:sz w:val="18"/>
                <w:szCs w:val="18"/>
                <w:color w:val="auto"/>
                <w:w w:val="93"/>
              </w:rPr>
              <w:t>Maximum Number</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4"/>
              </w:rPr>
              <w:t>Shares Purchased as</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w w:val="91"/>
              </w:rPr>
              <w:t>of Shares that May</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4"/>
              </w:rPr>
              <w:t>Part of Publicly</w:t>
            </w:r>
          </w:p>
        </w:tc>
        <w:tc>
          <w:tcPr>
            <w:tcW w:w="146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0"/>
              </w:rPr>
              <w:t>Yet be Purchased</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line="189" w:lineRule="exact"/>
              <w:rPr>
                <w:sz w:val="20"/>
                <w:szCs w:val="20"/>
                <w:color w:val="auto"/>
              </w:rPr>
            </w:pPr>
            <w:r>
              <w:rPr>
                <w:rFonts w:ascii="Arial" w:cs="Arial" w:eastAsia="Arial" w:hAnsi="Arial"/>
                <w:sz w:val="18"/>
                <w:szCs w:val="18"/>
                <w:color w:val="auto"/>
              </w:rPr>
              <w:t>Average Price</w:t>
            </w:r>
          </w:p>
        </w:tc>
        <w:tc>
          <w:tcPr>
            <w:tcW w:w="188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Announced Plans or</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w w:val="90"/>
              </w:rPr>
              <w:t>Under the Plans or</w:t>
            </w:r>
          </w:p>
        </w:tc>
      </w:tr>
      <w:tr>
        <w:trPr>
          <w:trHeight w:val="190"/>
        </w:trPr>
        <w:tc>
          <w:tcPr>
            <w:tcW w:w="4860" w:type="dxa"/>
            <w:vAlign w:val="bottom"/>
            <w:gridSpan w:val="2"/>
          </w:tcPr>
          <w:p>
            <w:pPr>
              <w:spacing w:after="0" w:line="190" w:lineRule="exact"/>
              <w:rPr>
                <w:sz w:val="20"/>
                <w:szCs w:val="20"/>
                <w:color w:val="auto"/>
              </w:rPr>
            </w:pPr>
            <w:r>
              <w:rPr>
                <w:rFonts w:ascii="Arial" w:cs="Arial" w:eastAsia="Arial" w:hAnsi="Arial"/>
                <w:sz w:val="18"/>
                <w:szCs w:val="18"/>
                <w:color w:val="auto"/>
              </w:rPr>
              <w:t>Period</w:t>
            </w:r>
          </w:p>
        </w:tc>
        <w:tc>
          <w:tcPr>
            <w:tcW w:w="1480" w:type="dxa"/>
            <w:vAlign w:val="bottom"/>
          </w:tcPr>
          <w:p>
            <w:pPr>
              <w:jc w:val="right"/>
              <w:ind w:right="10"/>
              <w:spacing w:after="0" w:line="190" w:lineRule="exact"/>
              <w:rPr>
                <w:sz w:val="20"/>
                <w:szCs w:val="20"/>
                <w:color w:val="auto"/>
              </w:rPr>
            </w:pPr>
            <w:r>
              <w:rPr>
                <w:rFonts w:ascii="Arial" w:cs="Arial" w:eastAsia="Arial" w:hAnsi="Arial"/>
                <w:sz w:val="18"/>
                <w:szCs w:val="18"/>
                <w:color w:val="auto"/>
                <w:w w:val="91"/>
              </w:rPr>
              <w:t>Shares Purchased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w w:val="94"/>
              </w:rPr>
              <w:t>Paid per Share</w:t>
            </w:r>
          </w:p>
        </w:tc>
        <w:tc>
          <w:tcPr>
            <w:tcW w:w="240" w:type="dxa"/>
            <w:vAlign w:val="bottom"/>
          </w:tcPr>
          <w:p>
            <w:pPr>
              <w:spacing w:after="0"/>
              <w:rPr>
                <w:sz w:val="16"/>
                <w:szCs w:val="16"/>
                <w:color w:val="auto"/>
              </w:rPr>
            </w:pPr>
          </w:p>
        </w:tc>
        <w:tc>
          <w:tcPr>
            <w:tcW w:w="164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89"/>
              </w:rPr>
              <w:t>Program</w:t>
            </w:r>
          </w:p>
        </w:tc>
        <w:tc>
          <w:tcPr>
            <w:tcW w:w="14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Programs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April 1, 2022 - April 30, 2022</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7,008</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May 1, 2022 - May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4,148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2022 - June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14,074</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4.92</w:t>
            </w:r>
          </w:p>
        </w:tc>
        <w:tc>
          <w:tcPr>
            <w:tcW w:w="2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right="520" w:hanging="332"/>
        <w:spacing w:after="0" w:line="203" w:lineRule="auto"/>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We withheld a total of 7,008 shares to satisfy tax withholding obligations due upon the vesting of restricted stock grants, as allowed by the 2012 Omnibus Award Plan. We did not pay cash to repurchase these shares, nor were these repurchases part of a publicly announced plan or program.</w:t>
      </w:r>
    </w:p>
    <w:p>
      <w:pPr>
        <w:spacing w:after="0" w:line="27" w:lineRule="exact"/>
        <w:rPr>
          <w:rFonts w:ascii="Arial" w:cs="Arial" w:eastAsia="Arial" w:hAnsi="Arial"/>
          <w:sz w:val="27"/>
          <w:szCs w:val="27"/>
          <w:color w:val="auto"/>
          <w:vertAlign w:val="superscript"/>
        </w:rPr>
      </w:pPr>
    </w:p>
    <w:p>
      <w:pPr>
        <w:jc w:val="both"/>
        <w:ind w:left="340" w:right="520" w:hanging="332"/>
        <w:spacing w:after="0" w:line="203" w:lineRule="auto"/>
        <w:tabs>
          <w:tab w:leader="none" w:pos="340"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We withheld a total of 4,148 shares to satisfy tax withholding obligations due upon the vesting of restricted stock grants, as allowed by the 2012 Omnibus Award Plan. We did not pay cash to repurchase these shares, nor were these repurchases part of a publicly announced plan or program.</w:t>
      </w:r>
    </w:p>
    <w:p>
      <w:pPr>
        <w:spacing w:after="0" w:line="216" w:lineRule="exact"/>
        <w:rPr>
          <w:rFonts w:ascii="Arial" w:cs="Arial" w:eastAsia="Arial" w:hAnsi="Arial"/>
          <w:sz w:val="27"/>
          <w:szCs w:val="27"/>
          <w:color w:val="auto"/>
          <w:vertAlign w:val="superscript"/>
        </w:rPr>
      </w:pPr>
    </w:p>
    <w:p>
      <w:pPr>
        <w:ind w:left="340" w:right="260" w:hanging="332"/>
        <w:spacing w:after="0" w:line="192"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We cancelled 2,918 shares that were forfeited when the vesting conditions were not met, in accordance with the terms of the 2012 Omnibus Award Plan and related award agreements. We did not pay cash to repurchase these shares, nor were these repurchases part of a publicly announced plan or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as of August 1, 2022, information regarding beneficial ownership of our common stock by each person, or group of affiliated persons, known by us to beneficially own more than 5% of our common stock.</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have based our calculation of the percentage of beneficial ownership on 52,257,157 shares of our common stock outstanding on August 1, 2022.</w:t>
      </w:r>
    </w:p>
    <w:p>
      <w:pPr>
        <w:spacing w:after="0" w:line="14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00" w:type="dxa"/>
            <w:vAlign w:val="bottom"/>
            <w:gridSpan w:val="2"/>
            <w:vMerge w:val="continue"/>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Beneficially Owned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8,392,568</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6,918,096</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David L. Kanen and affiliates</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3,484,620</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0" w:hanging="652"/>
        <w:spacing w:after="0" w:line="23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4, 2022 by JWTS, Inc. (“JWTS”), Peter J. Jacullo III, and the Katherine D. Jacullo Children’s 1993 Irrevocable Trust (the “Jacullo Trust”) and a Form 4 filed by Mr. Jacullo with the SEC on June 16, 2022.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494,899 shares of common stock over which he has sole voting and dispositive power, including 21,689 shares of unvested restricted common stock.</w:t>
      </w:r>
    </w:p>
    <w:p>
      <w:pPr>
        <w:spacing w:after="0" w:line="148" w:lineRule="exact"/>
        <w:rPr>
          <w:rFonts w:ascii="Arial" w:cs="Arial" w:eastAsia="Arial" w:hAnsi="Arial"/>
          <w:sz w:val="17"/>
          <w:szCs w:val="17"/>
          <w:color w:val="auto"/>
        </w:rPr>
      </w:pPr>
    </w:p>
    <w:p>
      <w:pPr>
        <w:ind w:left="660" w:right="20" w:hanging="652"/>
        <w:spacing w:after="0" w:line="25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June 16, 2022.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3,409,384 shares of common stock directly held by Mr. Kamin, including 41,209 shares of unvested restricted common stock. Mr. Kamin has sole voting and dispositive power over all such shares.</w:t>
      </w:r>
    </w:p>
    <w:p>
      <w:pPr>
        <w:spacing w:after="0" w:line="138" w:lineRule="exact"/>
        <w:rPr>
          <w:rFonts w:ascii="Arial" w:cs="Arial" w:eastAsia="Arial" w:hAnsi="Arial"/>
          <w:sz w:val="16"/>
          <w:szCs w:val="16"/>
          <w:color w:val="auto"/>
        </w:rPr>
      </w:pPr>
    </w:p>
    <w:p>
      <w:pPr>
        <w:ind w:left="660" w:hanging="652"/>
        <w:spacing w:after="0" w:line="22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Schedule 13D filed with the SEC on July 22, 2022 by Philotimo Fund, LP (“Philotimo”), Kanen Wealth Management, LLC (“KWM”), David L. Kanen and Philotimo Focused Growth and Income Fund (“PFGIF”), reporting holdings as of July 21, 2022. KWM is the general partner of Philotimo and investment manager of PFGIF. Mr. Kanen is the managing member of KWM. By virtue of these relationships, KWM may be deemed to beneficially own the shares of common stock owned by Philotimo and PFGIF, and Mr. Kanen may be deemed to beneficially own the shares of common stock owned by each of Philotimo, PFGIF, and KWM. Philotimo reported beneficial ownership of, and shared voting and dispositive power over, 1,624,524 shares. KWM reported beneficial ownership of, and shared voting and dispositive power over, 3,295,446 shares. Mr. Kanen reported beneficial ownership of 3,484,620 shares, including 189,174 shares over which he has sole voting and dispositive power and 3,295,446 shares over which he has shared voting and dispositive power. PFGIF reported beneficial ownership of, and shared voting and dispositive power over, 222,795 shares. The business address of the reporting persons is 5850 Coral Ridge Drive, Suite 309, Coral Springs, Florida 33076.</w:t>
      </w:r>
    </w:p>
    <w:p>
      <w:pPr>
        <w:spacing w:after="0" w:line="155" w:lineRule="exact"/>
        <w:rPr>
          <w:rFonts w:ascii="Arial" w:cs="Arial" w:eastAsia="Arial" w:hAnsi="Arial"/>
          <w:sz w:val="18"/>
          <w:szCs w:val="18"/>
          <w:color w:val="auto"/>
        </w:rPr>
      </w:pPr>
    </w:p>
    <w:p>
      <w:pPr>
        <w:ind w:left="660" w:right="10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50" w:lineRule="exact"/>
        <w:rPr>
          <w:rFonts w:ascii="Arial" w:cs="Arial" w:eastAsia="Arial" w:hAnsi="Arial"/>
          <w:sz w:val="17"/>
          <w:szCs w:val="17"/>
          <w:color w:val="auto"/>
        </w:rPr>
      </w:pPr>
    </w:p>
    <w:p>
      <w:pPr>
        <w:ind w:left="660" w:right="240" w:hanging="652"/>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38">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w w:val="92"/>
              </w:rPr>
            </w:pPr>
            <w:hyperlink r:id="rId38">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563C1"/>
            </w:tcBorders>
            <w:gridSpan w:val="9"/>
            <w:shd w:val="clear" w:color="auto" w:fill="CCEEFF"/>
          </w:tcPr>
          <w:p>
            <w:pPr>
              <w:spacing w:after="0" w:line="169" w:lineRule="exact"/>
              <w:rPr>
                <w:rFonts w:ascii="Arial" w:cs="Arial" w:eastAsia="Arial" w:hAnsi="Arial"/>
                <w:sz w:val="18"/>
                <w:szCs w:val="18"/>
                <w:color w:val="0563C1"/>
              </w:rPr>
            </w:pPr>
            <w:hyperlink r:id="rId38">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39">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Arial" w:cs="Arial" w:eastAsia="Arial" w:hAnsi="Arial"/>
                <w:sz w:val="18"/>
                <w:szCs w:val="18"/>
                <w:color w:val="0563C1"/>
                <w:w w:val="94"/>
              </w:rPr>
            </w:pPr>
            <w:hyperlink r:id="rId39">
              <w:r>
                <w:rPr>
                  <w:rFonts w:ascii="Arial" w:cs="Arial" w:eastAsia="Arial" w:hAnsi="Arial"/>
                  <w:sz w:val="18"/>
                  <w:szCs w:val="18"/>
                  <w:color w:val="0563C1"/>
                  <w:w w:val="94"/>
                </w:rPr>
                <w:t>Certificate of Amendment to the Certificate of Incorporation of Tile Shop Holdings, Inc. (incorporated by reference to Exhibit 3.2 to the</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60" w:type="dxa"/>
            <w:vAlign w:val="bottom"/>
            <w:tcBorders>
              <w:top w:val="single" w:sz="8" w:color="0563C1"/>
              <w:bottom w:val="single" w:sz="8" w:color="0563C1"/>
            </w:tcBorders>
            <w:gridSpan w:val="6"/>
          </w:tcPr>
          <w:p>
            <w:pPr>
              <w:spacing w:after="0" w:line="169" w:lineRule="exact"/>
              <w:rPr>
                <w:rFonts w:ascii="Arial" w:cs="Arial" w:eastAsia="Arial" w:hAnsi="Arial"/>
                <w:sz w:val="18"/>
                <w:szCs w:val="18"/>
                <w:color w:val="0563C1"/>
                <w:w w:val="91"/>
              </w:rPr>
            </w:pPr>
            <w:hyperlink r:id="rId39">
              <w:r>
                <w:rPr>
                  <w:rFonts w:ascii="Arial" w:cs="Arial" w:eastAsia="Arial" w:hAnsi="Arial"/>
                  <w:sz w:val="18"/>
                  <w:szCs w:val="18"/>
                  <w:color w:val="0563C1"/>
                  <w:w w:val="91"/>
                </w:rPr>
                <w:t>Company’s Current Report on Form 8-K filed with the Securities and Exchange Commission on July 21, 2021).</w:t>
              </w:r>
            </w:hyperlink>
          </w:p>
        </w:tc>
        <w:tc>
          <w:tcPr>
            <w:tcW w:w="1780" w:type="dxa"/>
            <w:vAlign w:val="bottom"/>
            <w:tcBorders>
              <w:top w:val="single" w:sz="8" w:color="0563C1"/>
            </w:tcBorders>
            <w:gridSpan w:val="2"/>
          </w:tcPr>
          <w:p>
            <w:pPr>
              <w:spacing w:after="0"/>
              <w:rPr>
                <w:sz w:val="15"/>
                <w:szCs w:val="15"/>
                <w:color w:val="auto"/>
              </w:rPr>
            </w:pPr>
          </w:p>
        </w:tc>
        <w:tc>
          <w:tcPr>
            <w:tcW w:w="180" w:type="dxa"/>
            <w:vAlign w:val="bottom"/>
          </w:tcPr>
          <w:p>
            <w:pPr>
              <w:spacing w:after="0"/>
              <w:rPr>
                <w:sz w:val="15"/>
                <w:szCs w:val="15"/>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0">
              <w:r>
                <w:rPr>
                  <w:rFonts w:ascii="Arial" w:cs="Arial" w:eastAsia="Arial" w:hAnsi="Arial"/>
                  <w:sz w:val="18"/>
                  <w:szCs w:val="18"/>
                  <w:color w:val="0563C1"/>
                </w:rPr>
                <w:t>3.</w:t>
              </w:r>
              <w:r>
                <w:rPr>
                  <w:rFonts w:ascii="Arial" w:cs="Arial" w:eastAsia="Arial" w:hAnsi="Arial"/>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w w:val="95"/>
              </w:rPr>
            </w:pPr>
            <w:hyperlink r:id="rId40">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76"/>
        </w:trPr>
        <w:tc>
          <w:tcPr>
            <w:tcW w:w="240" w:type="dxa"/>
            <w:vAlign w:val="bottom"/>
            <w:tcBorders>
              <w:top w:val="single" w:sz="8" w:color="0563C1"/>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720" w:type="dxa"/>
            <w:vAlign w:val="bottom"/>
            <w:tcBorders>
              <w:top w:val="single" w:sz="8" w:color="0563C1"/>
              <w:bottom w:val="single" w:sz="8" w:color="0563C1"/>
            </w:tcBorders>
            <w:gridSpan w:val="2"/>
            <w:shd w:val="clear" w:color="auto" w:fill="CCEEFF"/>
          </w:tcPr>
          <w:p>
            <w:pPr>
              <w:spacing w:after="0" w:line="169" w:lineRule="exact"/>
              <w:rPr>
                <w:rFonts w:ascii="Arial" w:cs="Arial" w:eastAsia="Arial" w:hAnsi="Arial"/>
                <w:sz w:val="18"/>
                <w:szCs w:val="18"/>
                <w:color w:val="0563C1"/>
                <w:w w:val="91"/>
              </w:rPr>
            </w:pPr>
            <w:hyperlink r:id="rId40">
              <w:r>
                <w:rPr>
                  <w:rFonts w:ascii="Arial" w:cs="Arial" w:eastAsia="Arial" w:hAnsi="Arial"/>
                  <w:sz w:val="18"/>
                  <w:szCs w:val="18"/>
                  <w:color w:val="0563C1"/>
                  <w:w w:val="91"/>
                </w:rPr>
                <w:t>(Reg. No. 333-182482) filed with the Securities and Exchange Commission on July 2, 2012).</w:t>
              </w:r>
            </w:hyperlink>
          </w:p>
        </w:tc>
        <w:tc>
          <w:tcPr>
            <w:tcW w:w="2940" w:type="dxa"/>
            <w:vAlign w:val="bottom"/>
            <w:tcBorders>
              <w:top w:val="single" w:sz="8" w:color="0563C1"/>
              <w:bottom w:val="single" w:sz="8" w:color="CCEEFF"/>
            </w:tcBorders>
            <w:gridSpan w:val="5"/>
            <w:shd w:val="clear" w:color="auto" w:fill="CCEEFF"/>
          </w:tcPr>
          <w:p>
            <w:pPr>
              <w:spacing w:after="0"/>
              <w:rPr>
                <w:sz w:val="15"/>
                <w:szCs w:val="15"/>
                <w:color w:val="auto"/>
              </w:rPr>
            </w:pPr>
          </w:p>
        </w:tc>
        <w:tc>
          <w:tcPr>
            <w:tcW w:w="36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9"/>
        </w:trPr>
        <w:tc>
          <w:tcPr>
            <w:tcW w:w="420" w:type="dxa"/>
            <w:vAlign w:val="bottom"/>
            <w:gridSpan w:val="2"/>
          </w:tcPr>
          <w:p>
            <w:pPr>
              <w:spacing w:after="0" w:line="162" w:lineRule="exact"/>
              <w:rPr>
                <w:rFonts w:ascii="Arial" w:cs="Arial" w:eastAsia="Arial" w:hAnsi="Arial"/>
                <w:sz w:val="18"/>
                <w:szCs w:val="18"/>
                <w:color w:val="0563C1"/>
                <w:w w:val="95"/>
              </w:rPr>
            </w:pPr>
            <w:hyperlink w:anchor="page27">
              <w:r>
                <w:rPr>
                  <w:rFonts w:ascii="Arial" w:cs="Arial" w:eastAsia="Arial" w:hAnsi="Arial"/>
                  <w:sz w:val="18"/>
                  <w:szCs w:val="18"/>
                  <w:color w:val="0563C1"/>
                  <w:w w:val="95"/>
                </w:rPr>
                <w:t>31.</w:t>
              </w:r>
              <w:r>
                <w:rPr>
                  <w:rFonts w:ascii="Arial" w:cs="Arial" w:eastAsia="Arial" w:hAnsi="Arial"/>
                  <w:sz w:val="18"/>
                  <w:szCs w:val="18"/>
                  <w:u w:val="single" w:color="auto"/>
                  <w:color w:val="0563C1"/>
                  <w:w w:val="95"/>
                </w:rPr>
                <w:t>1*</w:t>
              </w:r>
            </w:hyperlink>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Certification of Chief Executive Officer Pursuant to Section 302 of the Sarbanes Oxley Act of 2002.</w:t>
              </w:r>
            </w:hyperlink>
          </w:p>
        </w:tc>
      </w:tr>
      <w:tr>
        <w:trPr>
          <w:trHeight w:val="169"/>
        </w:trPr>
        <w:tc>
          <w:tcPr>
            <w:tcW w:w="420" w:type="dxa"/>
            <w:vAlign w:val="bottom"/>
            <w:tcBorders>
              <w:top w:val="single" w:sz="8" w:color="0563C1"/>
              <w:bottom w:val="single" w:sz="8" w:color="0563C1"/>
            </w:tcBorders>
            <w:gridSpan w:val="2"/>
            <w:shd w:val="clear" w:color="auto" w:fill="CCEEFF"/>
          </w:tcPr>
          <w:p>
            <w:pPr>
              <w:spacing w:after="0" w:line="162" w:lineRule="exact"/>
              <w:rPr>
                <w:rFonts w:ascii="Arial" w:cs="Arial" w:eastAsia="Arial" w:hAnsi="Arial"/>
                <w:sz w:val="18"/>
                <w:szCs w:val="18"/>
                <w:color w:val="0563C1"/>
                <w:w w:val="95"/>
              </w:rPr>
            </w:pPr>
            <w:hyperlink w:anchor="page28">
              <w:r>
                <w:rPr>
                  <w:rFonts w:ascii="Arial" w:cs="Arial" w:eastAsia="Arial" w:hAnsi="Arial"/>
                  <w:sz w:val="18"/>
                  <w:szCs w:val="18"/>
                  <w:color w:val="0563C1"/>
                  <w:w w:val="95"/>
                </w:rPr>
                <w:t>31.</w:t>
              </w:r>
              <w:r>
                <w:rPr>
                  <w:rFonts w:ascii="Arial" w:cs="Arial" w:eastAsia="Arial" w:hAnsi="Arial"/>
                  <w:sz w:val="18"/>
                  <w:szCs w:val="18"/>
                  <w:u w:val="single" w:color="auto"/>
                  <w:color w:val="0563C1"/>
                  <w:w w:val="95"/>
                </w:rPr>
                <w:t>2*</w:t>
              </w:r>
            </w:hyperlink>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180" w:type="dxa"/>
            <w:vAlign w:val="bottom"/>
            <w:tcBorders>
              <w:top w:val="single" w:sz="8" w:color="0563C1"/>
              <w:bottom w:val="single" w:sz="8" w:color="0563C1"/>
            </w:tcBorders>
            <w:gridSpan w:val="3"/>
            <w:shd w:val="clear" w:color="auto" w:fill="CCEEFF"/>
          </w:tcPr>
          <w:p>
            <w:pPr>
              <w:spacing w:after="0" w:line="162" w:lineRule="exact"/>
              <w:rPr>
                <w:rFonts w:ascii="Arial" w:cs="Arial" w:eastAsia="Arial" w:hAnsi="Arial"/>
                <w:sz w:val="18"/>
                <w:szCs w:val="18"/>
                <w:color w:val="0563C1"/>
                <w:w w:val="91"/>
              </w:rPr>
            </w:pPr>
            <w:hyperlink w:anchor="page28">
              <w:r>
                <w:rPr>
                  <w:rFonts w:ascii="Arial" w:cs="Arial" w:eastAsia="Arial" w:hAnsi="Arial"/>
                  <w:sz w:val="18"/>
                  <w:szCs w:val="18"/>
                  <w:color w:val="0563C1"/>
                  <w:w w:val="91"/>
                </w:rPr>
                <w:t>Certification of Chief Financial Officer Pursuant to Section 302 of the Sarbanes Oxley Act of 2002.</w:t>
              </w:r>
            </w:hyperlink>
          </w:p>
        </w:tc>
        <w:tc>
          <w:tcPr>
            <w:tcW w:w="120" w:type="dxa"/>
            <w:vAlign w:val="bottom"/>
            <w:tcBorders>
              <w:top w:val="single" w:sz="8" w:color="0563C1"/>
              <w:bottom w:val="single" w:sz="8" w:color="CCEEFF"/>
              <w:right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gridSpan w:val="5"/>
            <w:shd w:val="clear" w:color="auto" w:fill="CCEEFF"/>
          </w:tcPr>
          <w:p>
            <w:pPr>
              <w:spacing w:after="0"/>
              <w:rPr>
                <w:sz w:val="14"/>
                <w:szCs w:val="14"/>
                <w:color w:val="auto"/>
              </w:rPr>
            </w:pPr>
          </w:p>
        </w:tc>
      </w:tr>
      <w:tr>
        <w:trPr>
          <w:trHeight w:val="162"/>
        </w:trPr>
        <w:tc>
          <w:tcPr>
            <w:tcW w:w="840" w:type="dxa"/>
            <w:vAlign w:val="bottom"/>
            <w:gridSpan w:val="4"/>
          </w:tcPr>
          <w:p>
            <w:pPr>
              <w:spacing w:after="0" w:line="162" w:lineRule="exact"/>
              <w:rPr>
                <w:rFonts w:ascii="Arial" w:cs="Arial" w:eastAsia="Arial" w:hAnsi="Arial"/>
                <w:sz w:val="18"/>
                <w:szCs w:val="18"/>
                <w:color w:val="0563C1"/>
              </w:rPr>
            </w:pPr>
            <w:hyperlink w:anchor="page29">
              <w:r>
                <w:rPr>
                  <w:rFonts w:ascii="Arial" w:cs="Arial" w:eastAsia="Arial" w:hAnsi="Arial"/>
                  <w:sz w:val="18"/>
                  <w:szCs w:val="18"/>
                  <w:color w:val="0563C1"/>
                </w:rPr>
                <w:t>32.</w:t>
              </w:r>
              <w:r>
                <w:rPr>
                  <w:rFonts w:ascii="Arial" w:cs="Arial" w:eastAsia="Arial" w:hAnsi="Arial"/>
                  <w:sz w:val="18"/>
                  <w:szCs w:val="18"/>
                  <w:u w:val="single" w:color="auto"/>
                  <w:color w:val="0563C1"/>
                </w:rPr>
                <w:t>1**</w:t>
              </w:r>
            </w:hyperlink>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Arial" w:cs="Arial" w:eastAsia="Arial" w:hAnsi="Arial"/>
                <w:sz w:val="18"/>
                <w:szCs w:val="18"/>
                <w:color w:val="0563C1"/>
              </w:rPr>
            </w:pPr>
            <w:hyperlink w:anchor="page29">
              <w:r>
                <w:rPr>
                  <w:rFonts w:ascii="Arial" w:cs="Arial" w:eastAsia="Arial" w:hAnsi="Arial"/>
                  <w:sz w:val="18"/>
                  <w:szCs w:val="18"/>
                  <w:color w:val="0563C1"/>
                </w:rPr>
                <w:t>Certifications of Chief Executive Officer Pursuant to Section 906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840" w:type="dxa"/>
            <w:vAlign w:val="bottom"/>
            <w:gridSpan w:val="4"/>
            <w:shd w:val="clear" w:color="auto" w:fill="CCEEFF"/>
          </w:tcPr>
          <w:p>
            <w:pPr>
              <w:spacing w:after="0" w:line="162" w:lineRule="exact"/>
              <w:rPr>
                <w:rFonts w:ascii="Arial" w:cs="Arial" w:eastAsia="Arial" w:hAnsi="Arial"/>
                <w:sz w:val="18"/>
                <w:szCs w:val="18"/>
                <w:color w:val="0563C1"/>
              </w:rPr>
            </w:pPr>
            <w:hyperlink w:anchor="page30">
              <w:r>
                <w:rPr>
                  <w:rFonts w:ascii="Arial" w:cs="Arial" w:eastAsia="Arial" w:hAnsi="Arial"/>
                  <w:sz w:val="18"/>
                  <w:szCs w:val="18"/>
                  <w:color w:val="0563C1"/>
                </w:rPr>
                <w:t>32.</w:t>
              </w:r>
              <w:r>
                <w:rPr>
                  <w:rFonts w:ascii="Arial" w:cs="Arial" w:eastAsia="Arial" w:hAnsi="Arial"/>
                  <w:sz w:val="18"/>
                  <w:szCs w:val="18"/>
                  <w:u w:val="single" w:color="auto"/>
                  <w:color w:val="0563C1"/>
                </w:rPr>
                <w:t>2**</w:t>
              </w:r>
            </w:hyperlink>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rPr>
            </w:pPr>
            <w:hyperlink w:anchor="page30">
              <w:r>
                <w:rPr>
                  <w:rFonts w:ascii="Arial" w:cs="Arial" w:eastAsia="Arial" w:hAnsi="Arial"/>
                  <w:sz w:val="18"/>
                  <w:szCs w:val="18"/>
                  <w:color w:val="0563C1"/>
                </w:rPr>
                <w:t>Certifications of Chief Financial Officer Pursuant to Section 906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1"/>
        </w:trPr>
        <w:tc>
          <w:tcPr>
            <w:tcW w:w="420" w:type="dxa"/>
            <w:vAlign w:val="bottom"/>
            <w:gridSpan w:val="2"/>
          </w:tcPr>
          <w:p>
            <w:pPr>
              <w:spacing w:after="0" w:line="16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1" w:lineRule="exact"/>
              <w:rPr>
                <w:sz w:val="20"/>
                <w:szCs w:val="20"/>
                <w:color w:val="auto"/>
              </w:rPr>
            </w:pPr>
            <w:r>
              <w:rPr>
                <w:rFonts w:ascii="Arial" w:cs="Arial" w:eastAsia="Arial" w:hAnsi="Arial"/>
                <w:sz w:val="18"/>
                <w:szCs w:val="18"/>
                <w:color w:val="auto"/>
                <w:w w:val="92"/>
              </w:rPr>
              <w:t>The following financial statements from the Quarterly Report on Form 10-Q for the quarter ended June 30, 2022 are formatted in iXBRL</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9"/>
          </w:tcPr>
          <w:p>
            <w:pPr>
              <w:spacing w:after="0" w:line="189" w:lineRule="exact"/>
              <w:rPr>
                <w:sz w:val="20"/>
                <w:szCs w:val="20"/>
                <w:color w:val="auto"/>
              </w:rPr>
            </w:pPr>
            <w:r>
              <w:rPr>
                <w:rFonts w:ascii="Arial" w:cs="Arial" w:eastAsia="Arial" w:hAnsi="Arial"/>
                <w:sz w:val="18"/>
                <w:szCs w:val="18"/>
                <w:color w:val="auto"/>
                <w:w w:val="96"/>
              </w:rPr>
              <w:t>(Inline eXtensible Business Reporting Language): (i) Consolidated Balance Sheets, (ii) Consolidated Statements of Operations, (iii)</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9"/>
          </w:tcPr>
          <w:p>
            <w:pPr>
              <w:spacing w:after="0" w:line="189" w:lineRule="exact"/>
              <w:rPr>
                <w:sz w:val="20"/>
                <w:szCs w:val="20"/>
                <w:color w:val="auto"/>
              </w:rPr>
            </w:pPr>
            <w:r>
              <w:rPr>
                <w:rFonts w:ascii="Arial" w:cs="Arial" w:eastAsia="Arial" w:hAnsi="Arial"/>
                <w:sz w:val="18"/>
                <w:szCs w:val="18"/>
                <w:color w:val="auto"/>
                <w:w w:val="90"/>
              </w:rPr>
              <w:t>Consolidated Statements of Comprehensive Income, (iv) Consolidated Statements of Stockholders’ Equity, (v) Consolidated Statements of</w:t>
            </w:r>
          </w:p>
        </w:tc>
      </w:tr>
      <w:tr>
        <w:trPr>
          <w:trHeight w:val="217"/>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Cash Flows, and (vi) the Notes to Consolidated Financial Statements.</w:t>
            </w:r>
          </w:p>
        </w:tc>
      </w:tr>
      <w:tr>
        <w:trPr>
          <w:trHeight w:val="189"/>
        </w:trPr>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300" w:type="dxa"/>
            <w:vAlign w:val="bottom"/>
            <w:gridSpan w:val="2"/>
          </w:tcPr>
          <w:p>
            <w:pPr>
              <w:ind w:left="206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580" w:type="dxa"/>
            <w:vAlign w:val="bottom"/>
          </w:tcPr>
          <w:p>
            <w:pPr>
              <w:spacing w:after="0"/>
              <w:rPr>
                <w:sz w:val="20"/>
                <w:szCs w:val="20"/>
                <w:color w:val="auto"/>
              </w:rPr>
            </w:pPr>
            <w:r>
              <w:rPr>
                <w:rFonts w:ascii="Arial" w:cs="Arial" w:eastAsia="Arial" w:hAnsi="Arial"/>
                <w:sz w:val="18"/>
                <w:szCs w:val="18"/>
                <w:color w:val="auto"/>
              </w:rPr>
              <w:t>Dated: August 4, 2022</w:t>
            </w: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By: /s/ CABELL H. LOLMAUGH</w:t>
            </w:r>
          </w:p>
        </w:tc>
      </w:tr>
      <w:tr>
        <w:trPr>
          <w:trHeight w:val="155"/>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580" w:type="dxa"/>
            <w:vAlign w:val="bottom"/>
          </w:tcPr>
          <w:p>
            <w:pPr>
              <w:spacing w:after="0"/>
              <w:rPr>
                <w:sz w:val="20"/>
                <w:szCs w:val="20"/>
                <w:color w:val="auto"/>
              </w:rPr>
            </w:pPr>
            <w:r>
              <w:rPr>
                <w:rFonts w:ascii="Arial" w:cs="Arial" w:eastAsia="Arial" w:hAnsi="Arial"/>
                <w:sz w:val="18"/>
                <w:szCs w:val="18"/>
                <w:color w:val="auto"/>
              </w:rPr>
              <w:t>Dated: August 4, 2022</w:t>
            </w: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By: /s/ KARLA LUNAN</w:t>
            </w:r>
          </w:p>
        </w:tc>
      </w:tr>
      <w:tr>
        <w:trPr>
          <w:trHeight w:val="155"/>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Karla Lunan</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27"/>
        </w:trPr>
        <w:tc>
          <w:tcPr>
            <w:tcW w:w="358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26" w:name="page27"/>
    <w:bookmarkEnd w:id="26"/>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Karla Lunan, certify that:</w:t>
      </w:r>
    </w:p>
    <w:p>
      <w:pPr>
        <w:spacing w:after="0" w:line="144" w:lineRule="exact"/>
        <w:rPr>
          <w:sz w:val="20"/>
          <w:szCs w:val="20"/>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3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 Report on Form 10-Q of the Company for the period ended June 30,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5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Karla Lunan, the Chief Financial Officer of Tile Shop Holdings, Inc. (the “Company”), hereby certify that the Quarterly Report on Form 10-Q of the Company for the period ended June 30,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38" Type="http://schemas.openxmlformats.org/officeDocument/2006/relationships/hyperlink" Target="http://www.sec.gov/Archives/edgar/data/1552800/000114420412037509/v316486_ex3-1.htm" TargetMode="External"/><Relationship Id="rId39" Type="http://schemas.openxmlformats.org/officeDocument/2006/relationships/hyperlink" Target="http://www.sec.gov/Archives/edgar/data/1552800/000110465921094416/tm2122262d1_ex3-2.htm" TargetMode="External"/><Relationship Id="rId40" Type="http://schemas.openxmlformats.org/officeDocument/2006/relationships/hyperlink" Target="http://www.sec.gov/Archives/edgar/data/1552800/000114420412037509/v31648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2022-08-04T16:32:48Z</dcterms:created>
  <dcterms:modified xsi:type="dcterms:W3CDTF">2022-08-04T16:32:48Z</dcterms:modified>
</cp:coreProperties>
</file>