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pPr>
      <w:hyperlink w:anchor="TableofContents">
        <w:bookmarkStart w:id="0" w:name="c800-20251231x10k.htm"/>
        <w:bookmarkStart w:id="1" w:name="ksc80020251231x10k"/>
        <w:bookmarkEnd w:id="0"/>
        <w:bookmarkEnd w:id="1"/>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tbl>
      <w:tblPr>
        <w:tblW w:w="169" w:type="dxa"/>
        <w:jc w:val="left"/>
        <w:tblInd w:w="0" w:type="dxa"/>
        <w:tblLayout w:type="fixed"/>
        <w:tblCellMar>
          <w:top w:w="28" w:type="dxa"/>
          <w:left w:w="0" w:type="dxa"/>
          <w:bottom w:w="0" w:type="dxa"/>
          <w:right w:w="0" w:type="dxa"/>
        </w:tblCellMar>
      </w:tblPr>
      <w:tblGrid>
        <w:gridCol w:w="169"/>
      </w:tblGrid>
      <w:tr>
        <w:trPr/>
        <w:tc>
          <w:tcPr>
            <w:tcW w:w="169" w:type="dxa"/>
            <w:tcBorders>
              <w:top w:val="single" w:sz="18"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UNITED STATES</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AND EXCHANGE COMMISSION</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 10-K</w:t>
      </w:r>
    </w:p>
    <w:p>
      <w:pPr>
        <w:pStyle w:val="TextBody"/>
        <w:bidi w:val="0"/>
        <w:spacing w:lineRule="auto" w:line="259"/>
        <w:rPr/>
      </w:pPr>
      <w:r>
        <w:rPr>
          <w:caps w:val="false"/>
          <w:smallCaps w:val="false"/>
        </w:rPr>
        <w:t>☒  </w:t>
      </w:r>
      <w:r>
        <w:rPr>
          <w:rFonts w:ascii="Times New Roman;serif" w:hAnsi="Times New Roman;serif"/>
          <w:b/>
          <w:i w:val="false"/>
          <w:caps w:val="false"/>
          <w:smallCaps w:val="false"/>
          <w:sz w:val="20"/>
        </w:rPr>
        <w:t>Annual report pursuant to Section 13 or 15(d) of the Securities Exchange Act of 1934</w:t>
      </w:r>
    </w:p>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sz w:val="20"/>
        </w:rPr>
        <w:t>For the fiscal year</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ended December 31, 2025</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p>
      <w:pPr>
        <w:pStyle w:val="TextBody"/>
        <w:bidi w:val="0"/>
        <w:spacing w:lineRule="auto" w:line="259"/>
        <w:rPr/>
      </w:pPr>
      <w:r>
        <w:rPr>
          <w:caps w:val="false"/>
          <w:smallCaps w:val="false"/>
        </w:rPr>
        <w:t>☐  </w:t>
      </w:r>
      <w:r>
        <w:rPr>
          <w:rFonts w:ascii="Times New Roman;serif" w:hAnsi="Times New Roman;serif"/>
          <w:b/>
          <w:i w:val="false"/>
          <w:caps w:val="false"/>
          <w:smallCaps w:val="false"/>
          <w:sz w:val="20"/>
        </w:rPr>
        <w:t>Transition report pursuant to Section 13 or 15(d) of the Securities Exchange Act of 1934</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transition period from to</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Commission File Number: 001-35629</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tbl>
      <w:tblPr>
        <w:tblW w:w="7997" w:type="dxa"/>
        <w:jc w:val="left"/>
        <w:tblInd w:w="0" w:type="dxa"/>
        <w:tblLayout w:type="fixed"/>
        <w:tblCellMar>
          <w:top w:w="0" w:type="dxa"/>
          <w:left w:w="0" w:type="dxa"/>
          <w:bottom w:w="0" w:type="dxa"/>
          <w:right w:w="0" w:type="dxa"/>
        </w:tblCellMar>
      </w:tblPr>
      <w:tblGrid>
        <w:gridCol w:w="4966"/>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Delaware</w:t>
            </w:r>
          </w:p>
        </w:tc>
        <w:tc>
          <w:tcPr>
            <w:tcW w:w="3031"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45-5538095</w:t>
            </w:r>
          </w:p>
        </w:tc>
      </w:tr>
      <w:tr>
        <w:trPr/>
        <w:tc>
          <w:tcPr>
            <w:tcW w:w="496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or other jurisdiction of incorporation or organization)</w:t>
            </w:r>
          </w:p>
        </w:tc>
        <w:tc>
          <w:tcPr>
            <w:tcW w:w="303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(I.R.S. Employer Identification No.)</w:t>
            </w:r>
          </w:p>
        </w:tc>
      </w:tr>
    </w:tbl>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sz w:val="20"/>
        </w:rPr>
        <w:t>14000 Carlson Parkway,</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Plymouth, Minnesota</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55441</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 including zip code)</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(763) 852-2950</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telephone number, including area code)</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None</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Securities registered pursuant to Section 12(g) of the Act: </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None</w:t>
      </w:r>
    </w:p>
    <w:p>
      <w:pPr>
        <w:pStyle w:val="TextBody"/>
        <w:bidi w:val="0"/>
        <w:spacing w:lineRule="auto" w:line="259"/>
        <w:rPr>
          <w:rFonts w:ascii="Times New Roman;serif" w:hAnsi="Times New Roman;serif"/>
          <w:sz w:val="18"/>
        </w:rPr>
      </w:pPr>
      <w:r>
        <w:rPr>
          <w:rFonts w:ascii="Times New Roman;serif" w:hAnsi="Times New Roman;serif"/>
          <w:b w:val="false"/>
          <w:i w:val="false"/>
          <w:caps w:val="false"/>
          <w:smallCaps w:val="false"/>
          <w:sz w:val="18"/>
        </w:rPr>
        <w:t>Indicate by check mark if the registrant is a well-known seasoned issuer, as defined in Rule 405 of the Securities Act. Yes </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No </w:t>
      </w:r>
      <w:r>
        <w:rPr>
          <w:rFonts w:ascii="Times New Roman;serif" w:hAnsi="Times New Roman;serif"/>
          <w:caps w:val="false"/>
          <w:smallCaps w:val="false"/>
          <w:sz w:val="18"/>
        </w:rPr>
        <w:t>☒</w:t>
      </w:r>
    </w:p>
    <w:p>
      <w:pPr>
        <w:pStyle w:val="TextBody"/>
        <w:bidi w:val="0"/>
        <w:spacing w:lineRule="auto" w:line="259"/>
        <w:ind w:left="0" w:right="0" w:firstLine="360"/>
        <w:rPr>
          <w:rFonts w:ascii="Times New Roman;serif" w:hAnsi="Times New Roman;serif"/>
          <w:sz w:val="18"/>
        </w:rPr>
      </w:pPr>
      <w:r>
        <w:rPr>
          <w:rFonts w:ascii="Times New Roman;serif" w:hAnsi="Times New Roman;serif"/>
          <w:b w:val="false"/>
          <w:i w:val="false"/>
          <w:caps w:val="false"/>
          <w:smallCaps w:val="false"/>
          <w:sz w:val="18"/>
        </w:rPr>
        <w:t>Indicate by check mark if the registrant is not required to file reports pursuant to Section 13 or Section 15(d) of the Act. Yes </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No </w:t>
      </w:r>
      <w:r>
        <w:rPr>
          <w:rFonts w:ascii="Times New Roman;serif" w:hAnsi="Times New Roman;serif"/>
          <w:caps w:val="false"/>
          <w:smallCaps w:val="false"/>
          <w:sz w:val="18"/>
        </w:rPr>
        <w:t>☒</w:t>
      </w:r>
    </w:p>
    <w:p>
      <w:pPr>
        <w:pStyle w:val="TextBody"/>
        <w:bidi w:val="0"/>
        <w:spacing w:lineRule="auto" w:line="259"/>
        <w:ind w:left="0" w:right="0" w:firstLine="360"/>
        <w:rPr>
          <w:rFonts w:ascii="Times New Roman;serif" w:hAnsi="Times New Roman;serif"/>
          <w:sz w:val="18"/>
        </w:rPr>
      </w:pPr>
      <w:r>
        <w:rPr>
          <w:rFonts w:ascii="Times New Roman;serif" w:hAnsi="Times New Roman;serif"/>
          <w:b w:val="false"/>
          <w:i w:val="false"/>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serif" w:hAnsi="Times New Roman;serif"/>
          <w:caps w:val="false"/>
          <w:smallCaps w:val="false"/>
          <w:sz w:val="18"/>
        </w:rPr>
        <w:t>☒  </w:t>
      </w:r>
      <w:r>
        <w:rPr>
          <w:rFonts w:ascii="Times New Roman;serif" w:hAnsi="Times New Roman;serif"/>
          <w:b w:val="false"/>
          <w:i w:val="false"/>
          <w:caps w:val="false"/>
          <w:smallCaps w:val="false"/>
          <w:sz w:val="18"/>
        </w:rPr>
        <w:t>No </w:t>
      </w:r>
      <w:r>
        <w:rPr>
          <w:rFonts w:ascii="Times New Roman;serif" w:hAnsi="Times New Roman;serif"/>
          <w:caps w:val="false"/>
          <w:smallCaps w:val="false"/>
          <w:sz w:val="18"/>
        </w:rPr>
        <w:t>☐</w:t>
      </w:r>
    </w:p>
    <w:p>
      <w:pPr>
        <w:pStyle w:val="TextBody"/>
        <w:bidi w:val="0"/>
        <w:spacing w:lineRule="auto" w:line="259"/>
        <w:ind w:left="0" w:right="0" w:firstLine="360"/>
        <w:rPr>
          <w:rFonts w:ascii="Times New Roman;serif" w:hAnsi="Times New Roman;serif"/>
          <w:sz w:val="18"/>
        </w:rPr>
      </w:pPr>
      <w:r>
        <w:rPr>
          <w:rFonts w:ascii="Times New Roman;serif" w:hAnsi="Times New Roman;serif"/>
          <w:b w:val="false"/>
          <w:i w:val="false"/>
          <w:caps w:val="false"/>
          <w:smallCaps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Times New Roman;serif" w:hAnsi="Times New Roman;serif"/>
          <w:caps w:val="false"/>
          <w:smallCaps w:val="false"/>
          <w:sz w:val="18"/>
        </w:rPr>
        <w:t>☒  </w:t>
      </w:r>
      <w:r>
        <w:rPr>
          <w:rFonts w:ascii="Times New Roman;serif" w:hAnsi="Times New Roman;serif"/>
          <w:b w:val="false"/>
          <w:i w:val="false"/>
          <w:caps w:val="false"/>
          <w:smallCaps w:val="false"/>
          <w:sz w:val="18"/>
        </w:rPr>
        <w:t>No </w:t>
      </w:r>
      <w:r>
        <w:rPr>
          <w:rFonts w:ascii="Times New Roman;serif" w:hAnsi="Times New Roman;serif"/>
          <w:caps w:val="false"/>
          <w:smallCaps w:val="false"/>
          <w:sz w:val="18"/>
        </w:rPr>
        <w:t>☐</w:t>
      </w:r>
    </w:p>
    <w:p>
      <w:pPr>
        <w:pStyle w:val="TextBody"/>
        <w:bidi w:val="0"/>
        <w:spacing w:lineRule="auto" w:line="259"/>
        <w:ind w:left="0" w:right="0" w:firstLine="360"/>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281" w:type="dxa"/>
        <w:jc w:val="left"/>
        <w:tblInd w:w="0" w:type="dxa"/>
        <w:tblLayout w:type="fixed"/>
        <w:tblCellMar>
          <w:top w:w="0" w:type="dxa"/>
          <w:left w:w="0" w:type="dxa"/>
          <w:bottom w:w="0" w:type="dxa"/>
          <w:right w:w="0" w:type="dxa"/>
        </w:tblCellMar>
      </w:tblPr>
      <w:tblGrid>
        <w:gridCol w:w="1876"/>
        <w:gridCol w:w="2251"/>
        <w:gridCol w:w="154"/>
      </w:tblGrid>
      <w:tr>
        <w:trPr/>
        <w:tc>
          <w:tcPr>
            <w:tcW w:w="187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sz w:val="18"/>
              </w:rPr>
              <w:t>Large accelerated filer </w:t>
            </w:r>
            <w:r>
              <w:rPr>
                <w:rFonts w:ascii="Times New Roman;serif" w:hAnsi="Times New Roman;serif"/>
                <w:caps w:val="false"/>
                <w:smallCaps w:val="false"/>
                <w:sz w:val="18"/>
              </w:rPr>
              <w:t>☐</w:t>
            </w:r>
          </w:p>
        </w:tc>
        <w:tc>
          <w:tcPr>
            <w:tcW w:w="2251"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sz w:val="18"/>
              </w:rPr>
              <w:t>Accelerated filer</w:t>
            </w:r>
            <w:r>
              <w:rPr>
                <w:rFonts w:ascii="Times New Roman;serif" w:hAnsi="Times New Roman;serif"/>
                <w:caps w:val="false"/>
                <w:smallCaps w:val="false"/>
                <w:sz w:val="18"/>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sz w:val="18"/>
              </w:rPr>
              <w:t xml:space="preserve">Non-accelerated filer </w:t>
            </w:r>
            <w:r>
              <w:rPr>
                <w:rFonts w:ascii="Times New Roman;serif" w:hAnsi="Times New Roman;serif"/>
                <w:caps w:val="false"/>
                <w:smallCaps w:val="false"/>
                <w:sz w:val="18"/>
              </w:rPr>
              <w:t>☐</w:t>
            </w:r>
          </w:p>
        </w:tc>
        <w:tc>
          <w:tcPr>
            <w:tcW w:w="2251"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sz w:val="18"/>
              </w:rPr>
              <w:t xml:space="preserve">Smaller reporting company </w:t>
            </w:r>
            <w:r>
              <w:rPr>
                <w:rFonts w:ascii="Times New Roman;serif" w:hAnsi="Times New Roman;serif"/>
                <w:caps w:val="false"/>
                <w:smallCaps w:val="false"/>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sz w:val="18"/>
              </w:rPr>
              <w:t xml:space="preserve">Emerging growth company </w:t>
            </w:r>
            <w:r>
              <w:rPr>
                <w:rFonts w:ascii="Times New Roman;serif" w:hAnsi="Times New Roman;serif"/>
                <w:caps w:val="false"/>
                <w:smallCaps w:val="false"/>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Segoe UI Symbol" w:hAnsi="Segoe UI Symbol"/>
          <w:sz w:val="18"/>
        </w:rPr>
      </w:pPr>
      <w:r>
        <w:rPr>
          <w:rFonts w:ascii="Times New Roman;serif" w:hAnsi="Times New Roman;serif"/>
          <w:b w:val="false"/>
          <w:i w:val="false"/>
          <w:caps w:val="false"/>
          <w:smallCaps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hAnsi="Segoe UI Symbol"/>
          <w:caps w:val="false"/>
          <w:smallCaps w:val="false"/>
          <w:sz w:val="18"/>
        </w:rPr>
        <w:t>☐</w:t>
      </w:r>
    </w:p>
    <w:p>
      <w:pPr>
        <w:pStyle w:val="TextBody"/>
        <w:bidi w:val="0"/>
        <w:spacing w:lineRule="auto" w:line="259"/>
        <w:rPr>
          <w:rFonts w:ascii="Times New Roman;serif" w:hAnsi="Times New Roman;serif"/>
          <w:sz w:val="18"/>
        </w:rPr>
      </w:pPr>
      <w:r>
        <w:rPr>
          <w:rFonts w:ascii="Times New Roman;serif" w:hAnsi="Times New Roman;serif"/>
          <w:b w:val="false"/>
          <w:i w:val="false"/>
          <w:caps w:val="false"/>
          <w:smallCaps w:val="false"/>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serif" w:hAnsi="Times New Roman;serif"/>
          <w:caps w:val="false"/>
          <w:smallCaps w:val="false"/>
          <w:sz w:val="18"/>
        </w:rPr>
        <w:t>☒</w:t>
      </w:r>
    </w:p>
    <w:p>
      <w:pPr>
        <w:pStyle w:val="TextBody"/>
        <w:bidi w:val="0"/>
        <w:spacing w:lineRule="auto" w:line="259"/>
        <w:rPr>
          <w:rFonts w:ascii="Segoe UI Symbol" w:hAnsi="Segoe UI Symbol"/>
          <w:sz w:val="18"/>
        </w:rPr>
      </w:pPr>
      <w:r>
        <w:rPr>
          <w:rFonts w:ascii="Times New Roman;serif" w:hAnsi="Times New Roman;serif"/>
          <w:b w:val="false"/>
          <w:i w:val="false"/>
          <w:caps w:val="false"/>
          <w:smallCaps w:val="false"/>
          <w:sz w:val="18"/>
        </w:rPr>
        <w:t xml:space="preserve">If securities are registered pursuant to Section 12(b) of the Act, indicate by check mark whether the financial statements of the registrant included in the filing </w:t>
      </w:r>
      <w:bookmarkStart w:id="2" w:name="OLE_LINK123"/>
      <w:bookmarkEnd w:id="2"/>
      <w:r>
        <w:rPr>
          <w:rFonts w:ascii="Times New Roman;serif" w:hAnsi="Times New Roman;serif"/>
          <w:b w:val="false"/>
          <w:i w:val="false"/>
          <w:caps w:val="false"/>
          <w:smallCaps w:val="false"/>
          <w:sz w:val="18"/>
        </w:rPr>
        <w:t xml:space="preserve">reflect the correction of an error to previously issued financial statements. </w:t>
      </w:r>
      <w:bookmarkStart w:id="3" w:name="OLE_LINK6"/>
      <w:bookmarkEnd w:id="3"/>
      <w:r>
        <w:rPr>
          <w:rFonts w:ascii="Segoe UI Symbol" w:hAnsi="Segoe UI Symbol"/>
          <w:caps w:val="false"/>
          <w:smallCaps w:val="false"/>
          <w:sz w:val="18"/>
        </w:rPr>
        <w:t>☐</w:t>
      </w:r>
    </w:p>
    <w:p>
      <w:pPr>
        <w:pStyle w:val="TextBody"/>
        <w:bidi w:val="0"/>
        <w:spacing w:lineRule="auto" w:line="259"/>
        <w:rPr>
          <w:rFonts w:ascii="Times New Roman;serif" w:hAnsi="Times New Roman;serif"/>
          <w:sz w:val="18"/>
        </w:rPr>
      </w:pPr>
      <w:r>
        <w:rPr>
          <w:rFonts w:ascii="Times New Roman;serif" w:hAnsi="Times New Roman;serif"/>
          <w:b w:val="false"/>
          <w:i w:val="false"/>
          <w:caps w:val="false"/>
          <w:smallCaps w:val="false"/>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Times New Roman;serif" w:hAnsi="Times New Roman;serif"/>
          <w:caps w:val="false"/>
          <w:smallCaps w:val="false"/>
          <w:sz w:val="18"/>
        </w:rPr>
        <w:t>☐</w:t>
      </w:r>
    </w:p>
    <w:p>
      <w:pPr>
        <w:pStyle w:val="TextBody"/>
        <w:bidi w:val="0"/>
        <w:spacing w:lineRule="auto" w:line="259"/>
        <w:rPr>
          <w:rFonts w:ascii="Times New Roman;serif" w:hAnsi="Times New Roman;serif"/>
          <w:sz w:val="18"/>
        </w:rPr>
      </w:pPr>
      <w:r>
        <w:rPr>
          <w:rFonts w:ascii="Times New Roman;serif" w:hAnsi="Times New Roman;serif"/>
          <w:b w:val="false"/>
          <w:i w:val="false"/>
          <w:caps w:val="false"/>
          <w:smallCaps w:val="false"/>
          <w:sz w:val="18"/>
        </w:rPr>
        <w:t>Indicate by check mark whether the registrant is a shell company (as defined in Rule 12b-2 of the Act). Yes </w:t>
      </w:r>
      <w:r>
        <w:rPr>
          <w:rFonts w:ascii="Times New Roman;serif" w:hAnsi="Times New Roman;serif"/>
          <w:caps w:val="false"/>
          <w:smallCaps w:val="false"/>
          <w:sz w:val="18"/>
        </w:rPr>
        <w:t>☐  </w:t>
      </w:r>
      <w:r>
        <w:rPr>
          <w:rFonts w:ascii="Times New Roman;serif" w:hAnsi="Times New Roman;serif"/>
          <w:b w:val="false"/>
          <w:i w:val="false"/>
          <w:caps w:val="false"/>
          <w:smallCaps w:val="false"/>
          <w:sz w:val="18"/>
        </w:rPr>
        <w:t>No </w:t>
      </w:r>
      <w:r>
        <w:rPr>
          <w:rFonts w:ascii="Times New Roman;serif" w:hAnsi="Times New Roman;serif"/>
          <w:caps w:val="false"/>
          <w:smallCaps w:val="false"/>
          <w:sz w:val="18"/>
        </w:rPr>
        <w:t>☒</w:t>
      </w:r>
    </w:p>
    <w:p>
      <w:pPr>
        <w:pStyle w:val="TextBody"/>
        <w:bidi w:val="0"/>
        <w:spacing w:lineRule="auto" w:line="259"/>
        <w:ind w:left="0" w:right="0" w:firstLine="360"/>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The aggregate market value of the voting and non-voting common equity held by non-affiliates computed by reference to the price at which the common equity was last sold as of the last business day of the registrant’s most recently completed second fiscal quarter was approximately: $180,796,318. </w:t>
      </w:r>
    </w:p>
    <w:p>
      <w:pPr>
        <w:pStyle w:val="TextBody"/>
        <w:bidi w:val="0"/>
        <w:spacing w:lineRule="auto" w:line="259"/>
        <w:ind w:left="0" w:right="0" w:firstLine="360"/>
        <w:rPr>
          <w:rFonts w:ascii="Times New Roman;serif" w:hAnsi="Times New Roman;serif"/>
          <w:sz w:val="18"/>
        </w:rPr>
      </w:pPr>
      <w:r>
        <w:rPr>
          <w:rFonts w:ascii="Times New Roman;serif" w:hAnsi="Times New Roman;serif"/>
          <w:b w:val="false"/>
          <w:i w:val="false"/>
          <w:caps w:val="false"/>
          <w:smallCaps w:val="false"/>
          <w:sz w:val="18"/>
        </w:rPr>
        <w:t>As of February 23, 2026, the registrant had 39,821,741</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shares of common stock outstanding.</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DOCUMENTS INCORPORATED BY REFERENCE</w:t>
      </w:r>
    </w:p>
    <w:p>
      <w:pPr>
        <w:pStyle w:val="TextBody"/>
        <w:bidi w:val="0"/>
        <w:spacing w:lineRule="auto" w:line="259"/>
        <w:rPr/>
      </w:pPr>
      <w:r>
        <w:rPr>
          <w:rFonts w:cs="Tahoma;sans-serif"/>
          <w:bCs w:val="false"/>
          <w:iCs w:val="false"/>
          <w:caps w:val="false"/>
          <w:smallCaps w:val="false"/>
          <w:szCs w:val="20"/>
          <w:shd w:fill="008000" w:val="clear"/>
        </w:rPr>
        <w:t>﻿</w:t>
      </w:r>
      <w:r>
        <w:rPr>
          <w:rFonts w:ascii="Times New Roman;serif" w:hAnsi="Times New Roman;serif"/>
          <w:b w:val="false"/>
          <w:i w:val="false"/>
          <w:caps w:val="false"/>
          <w:smallCaps w:val="false"/>
          <w:sz w:val="18"/>
        </w:rPr>
        <w:t>None.</w:t>
      </w:r>
      <w:r>
        <w:rPr>
          <w:rFonts w:ascii="Times New Roman;serif" w:hAnsi="Times New Roman;serif"/>
          <w:caps w:val="false"/>
          <w:smallCaps w:val="false"/>
          <w:sz w:val="20"/>
        </w:rPr>
        <w:t xml:space="preserve"> </w:t>
      </w:r>
      <w:r>
        <w:rPr>
          <w:rFonts w:cs="Tahoma;sans-serif"/>
          <w:bCs w:val="false"/>
          <w:iCs w:val="false"/>
          <w:caps w:val="false"/>
          <w:smallCaps w:val="false"/>
          <w:szCs w:val="18"/>
        </w:rPr>
        <w:t>﻿</w:t>
      </w:r>
    </w:p>
    <w:tbl>
      <w:tblPr>
        <w:tblW w:w="169" w:type="dxa"/>
        <w:jc w:val="left"/>
        <w:tblInd w:w="0" w:type="dxa"/>
        <w:tblLayout w:type="fixed"/>
        <w:tblCellMar>
          <w:top w:w="28" w:type="dxa"/>
          <w:left w:w="0" w:type="dxa"/>
          <w:bottom w:w="0" w:type="dxa"/>
          <w:right w:w="0" w:type="dxa"/>
        </w:tblCellMar>
      </w:tblPr>
      <w:tblGrid>
        <w:gridCol w:w="169"/>
      </w:tblGrid>
      <w:tr>
        <w:trPr/>
        <w:tc>
          <w:tcPr>
            <w:tcW w:w="169" w:type="dxa"/>
            <w:tcBorders>
              <w:top w:val="single" w:sz="8"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160"/>
        <w:rPr>
          <w:rFonts w:ascii="Times New Roman;serif" w:hAnsi="Times New Roman;serif"/>
          <w:sz w:val="12"/>
        </w:rPr>
      </w:pPr>
      <w:r>
        <w:rPr>
          <w:rFonts w:ascii="Times New Roman;serif" w:hAnsi="Times New Roman;serif"/>
          <w:b w:val="false"/>
          <w:i w:val="false"/>
          <w:caps w:val="false"/>
          <w:smallCaps w:val="false"/>
          <w:sz w:val="12"/>
        </w:rPr>
        <w:br/>
        <w:t>‎</w:t>
      </w:r>
      <w:r>
        <w:rPr>
          <w:rFonts w:ascii="Times New Roman;serif" w:hAnsi="Times New Roman;serif"/>
          <w:caps w:val="false"/>
          <w:smallCaps w:val="false"/>
          <w:sz w:val="12"/>
        </w:rPr>
        <w:t xml:space="preserve"> </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Explanatory Note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December 17, 2025, Tile Shop Holdings, Inc. (the “Company”) filed a Form 25 with the Securities and Exchange Commission (the “SEC”) to delist the Company’s common stock (the “common stock”) from trading on The Nasdaq Stock Market LLC (“Nasdaq”). On December 27, 2025, the Company’s common stock ceased trading on Nasdaq and is currently quoted on The OTC Markets Pink Limited under the symbol “TTSH.” On January 2, 2026, the Company filed a Form 15 with the SEC to terminate the registration of the common stock under Section 12(g) of the Securities Exchange Act of 1934, as amended (the “Exchange Act”), and suspend the Company’s duty to file reports under Section 15(d) of the Exchange Act. The Company is filing this Annual Report on Form 10-K for the fiscal year ended December 31, 2025 to satisfy its remaining reporting obligation for the fiscal year ended December 31, 2025. The Company does not intend, and does not expect that it will be required, to file current or periodic reports with the SEC following the filing of this Annual Report on Form 10-K.</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ind w:left="0" w:right="4450" w:hanging="0"/>
        <w:rPr>
          <w:rFonts w:ascii="Times New Roman;serif" w:hAnsi="Times New Roman;serif"/>
          <w:sz w:val="20"/>
        </w:rPr>
      </w:pPr>
      <w:r>
        <w:rPr>
          <w:rFonts w:ascii="Times New Roman;serif" w:hAnsi="Times New Roman;serif"/>
          <w:b/>
          <w:i w:val="false"/>
          <w:caps w:val="false"/>
          <w:smallCaps w:val="false"/>
          <w:sz w:val="20"/>
        </w:rPr>
        <w:t>TILE SHOP HOLDINGS, INC. FOR</w:t>
      </w:r>
      <w:bookmarkStart w:id="4" w:name="TableofContents"/>
      <w:bookmarkEnd w:id="4"/>
      <w:r>
        <w:rPr>
          <w:rFonts w:ascii="Times New Roman;serif" w:hAnsi="Times New Roman;serif"/>
          <w:b/>
          <w:i w:val="false"/>
          <w:caps w:val="false"/>
          <w:smallCaps w:val="false"/>
          <w:sz w:val="20"/>
        </w:rPr>
        <w:t>M 10-K</w:t>
      </w:r>
    </w:p>
    <w:tbl>
      <w:tblPr>
        <w:tblW w:w="10205" w:type="dxa"/>
        <w:jc w:val="left"/>
        <w:tblInd w:w="0" w:type="dxa"/>
        <w:tblLayout w:type="fixed"/>
        <w:tblCellMar>
          <w:top w:w="0" w:type="dxa"/>
          <w:left w:w="0" w:type="dxa"/>
          <w:bottom w:w="0" w:type="dxa"/>
          <w:right w:w="0" w:type="dxa"/>
        </w:tblCellMar>
      </w:tblPr>
      <w:tblGrid>
        <w:gridCol w:w="124"/>
        <w:gridCol w:w="800"/>
        <w:gridCol w:w="8919"/>
        <w:gridCol w:w="362"/>
      </w:tblGrid>
      <w:tr>
        <w:trPr/>
        <w:tc>
          <w:tcPr>
            <w:tcW w:w="1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91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TABLE OF CONTENTS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91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924" w:type="dxa"/>
            <w:gridSpan w:val="2"/>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PART I</w:t>
            </w:r>
          </w:p>
        </w:tc>
        <w:tc>
          <w:tcPr>
            <w:tcW w:w="8919" w:type="dxa"/>
            <w:tcBorders/>
            <w:shd w:fill="CCEEFF" w:val="clear"/>
            <w:vAlign w:val="center"/>
          </w:tcPr>
          <w:p>
            <w:pPr>
              <w:pStyle w:val="TableContents"/>
              <w:bidi w:val="0"/>
              <w:spacing w:before="0" w:after="283"/>
              <w:jc w:val="left"/>
              <w:rPr>
                <w:sz w:val="4"/>
                <w:szCs w:val="4"/>
              </w:rPr>
            </w:pPr>
            <w:r>
              <w:rPr>
                <w:sz w:val="4"/>
                <w:szCs w:val="4"/>
              </w:rPr>
            </w:r>
          </w:p>
        </w:tc>
        <w:tc>
          <w:tcPr>
            <w:tcW w:w="362" w:type="dxa"/>
            <w:tcBorders/>
            <w:shd w:fill="CCEEFF"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uto" w:line="259" w:before="0" w:after="283"/>
              <w:jc w:val="left"/>
              <w:rPr/>
            </w:pPr>
            <w:hyperlink w:anchor="Item_1_Business">
              <w:r>
                <w:rPr>
                  <w:rStyle w:val="InternetLink"/>
                  <w:rFonts w:ascii="Times New Roman;serif" w:hAnsi="Times New Roman;serif"/>
                  <w:b w:val="false"/>
                  <w:i w:val="false"/>
                  <w:caps w:val="false"/>
                  <w:smallCaps w:val="false"/>
                  <w:strike w:val="false"/>
                  <w:dstrike w:val="false"/>
                  <w:color w:val="0000FF"/>
                  <w:sz w:val="20"/>
                  <w:u w:val="single"/>
                  <w:effect w:val="none"/>
                </w:rPr>
                <w:t>ITEM 1</w:t>
              </w:r>
            </w:hyperlink>
            <w:r>
              <w:rPr>
                <w:rFonts w:ascii="Times New Roman;serif" w:hAnsi="Times New Roman;serif"/>
                <w:b w:val="false"/>
                <w:i w:val="false"/>
                <w:caps w:val="false"/>
                <w:smallCaps w:val="false"/>
                <w:color w:val="000000"/>
                <w:sz w:val="20"/>
              </w:rPr>
              <w:t>.</w:t>
            </w:r>
          </w:p>
        </w:tc>
        <w:tc>
          <w:tcPr>
            <w:tcW w:w="8919" w:type="dxa"/>
            <w:tcBorders/>
            <w:vAlign w:val="center"/>
          </w:tcPr>
          <w:p>
            <w:pPr>
              <w:pStyle w:val="TableContents"/>
              <w:bidi w:val="0"/>
              <w:spacing w:lineRule="auto" w:line="259" w:before="0" w:after="283"/>
              <w:jc w:val="left"/>
              <w:rPr/>
            </w:pPr>
            <w:hyperlink w:anchor="Item_1_Business">
              <w:r>
                <w:rPr>
                  <w:rStyle w:val="InternetLink"/>
                  <w:rFonts w:ascii="Times New Roman;serif" w:hAnsi="Times New Roman;serif"/>
                  <w:b w:val="false"/>
                  <w:i w:val="false"/>
                  <w:caps w:val="false"/>
                  <w:smallCaps w:val="false"/>
                  <w:strike w:val="false"/>
                  <w:dstrike w:val="false"/>
                  <w:color w:val="0000FF"/>
                  <w:sz w:val="20"/>
                  <w:u w:val="single"/>
                  <w:effect w:val="none"/>
                </w:rPr>
                <w:t>BUSINESS</w:t>
              </w:r>
            </w:hyperlink>
          </w:p>
        </w:tc>
        <w:tc>
          <w:tcPr>
            <w:tcW w:w="36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lineRule="auto" w:line="259" w:before="0" w:after="283"/>
              <w:jc w:val="left"/>
              <w:rPr/>
            </w:pPr>
            <w:hyperlink w:anchor="Item_1A_RiskFactors">
              <w:r>
                <w:rPr>
                  <w:rStyle w:val="InternetLink"/>
                  <w:rFonts w:ascii="Times New Roman;serif" w:hAnsi="Times New Roman;serif"/>
                  <w:b w:val="false"/>
                  <w:i w:val="false"/>
                  <w:caps w:val="false"/>
                  <w:smallCaps w:val="false"/>
                  <w:strike w:val="false"/>
                  <w:dstrike w:val="false"/>
                  <w:color w:val="0000FF"/>
                  <w:sz w:val="20"/>
                  <w:u w:val="single"/>
                  <w:effect w:val="none"/>
                </w:rPr>
                <w:t>ITEM 1A</w:t>
              </w:r>
            </w:hyperlink>
            <w:r>
              <w:rPr>
                <w:rFonts w:ascii="Times New Roman;serif" w:hAnsi="Times New Roman;serif"/>
                <w:b w:val="false"/>
                <w:i w:val="false"/>
                <w:caps w:val="false"/>
                <w:smallCaps w:val="false"/>
                <w:color w:val="000000"/>
                <w:sz w:val="20"/>
              </w:rPr>
              <w:t>.</w:t>
            </w:r>
          </w:p>
        </w:tc>
        <w:tc>
          <w:tcPr>
            <w:tcW w:w="8919" w:type="dxa"/>
            <w:tcBorders/>
            <w:shd w:fill="CCEEFF" w:val="clear"/>
            <w:vAlign w:val="center"/>
          </w:tcPr>
          <w:p>
            <w:pPr>
              <w:pStyle w:val="TableContents"/>
              <w:bidi w:val="0"/>
              <w:spacing w:lineRule="auto" w:line="259" w:before="0" w:after="283"/>
              <w:jc w:val="left"/>
              <w:rPr/>
            </w:pPr>
            <w:hyperlink w:anchor="Item_1A_RiskFactors">
              <w:r>
                <w:rPr>
                  <w:rStyle w:val="InternetLink"/>
                  <w:rFonts w:ascii="Times New Roman;serif" w:hAnsi="Times New Roman;serif"/>
                  <w:b w:val="false"/>
                  <w:i w:val="false"/>
                  <w:caps w:val="false"/>
                  <w:smallCaps w:val="false"/>
                  <w:strike w:val="false"/>
                  <w:dstrike w:val="false"/>
                  <w:color w:val="0000FF"/>
                  <w:sz w:val="20"/>
                  <w:u w:val="single"/>
                  <w:effect w:val="none"/>
                </w:rPr>
                <w:t>RISK FACTORS</w:t>
              </w:r>
            </w:hyperlink>
          </w:p>
        </w:tc>
        <w:tc>
          <w:tcPr>
            <w:tcW w:w="36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uto" w:line="259" w:before="0" w:after="283"/>
              <w:jc w:val="left"/>
              <w:rPr/>
            </w:pPr>
            <w:hyperlink w:anchor="Item_1B_UnresolvedStaffComments">
              <w:r>
                <w:rPr>
                  <w:rStyle w:val="InternetLink"/>
                  <w:rFonts w:ascii="Times New Roman;serif" w:hAnsi="Times New Roman;serif"/>
                  <w:b w:val="false"/>
                  <w:i w:val="false"/>
                  <w:caps w:val="false"/>
                  <w:smallCaps w:val="false"/>
                  <w:strike w:val="false"/>
                  <w:dstrike w:val="false"/>
                  <w:color w:val="0000FF"/>
                  <w:sz w:val="20"/>
                  <w:u w:val="single"/>
                  <w:effect w:val="none"/>
                </w:rPr>
                <w:t>ITEM 1B</w:t>
              </w:r>
            </w:hyperlink>
            <w:r>
              <w:rPr>
                <w:rFonts w:ascii="Times New Roman;serif" w:hAnsi="Times New Roman;serif"/>
                <w:b w:val="false"/>
                <w:i w:val="false"/>
                <w:caps w:val="false"/>
                <w:smallCaps w:val="false"/>
                <w:color w:val="000000"/>
                <w:sz w:val="20"/>
              </w:rPr>
              <w:t>.</w:t>
            </w:r>
          </w:p>
        </w:tc>
        <w:tc>
          <w:tcPr>
            <w:tcW w:w="8919" w:type="dxa"/>
            <w:tcBorders/>
            <w:vAlign w:val="center"/>
          </w:tcPr>
          <w:p>
            <w:pPr>
              <w:pStyle w:val="TableContents"/>
              <w:bidi w:val="0"/>
              <w:spacing w:lineRule="auto" w:line="259" w:before="0" w:after="283"/>
              <w:jc w:val="left"/>
              <w:rPr/>
            </w:pPr>
            <w:hyperlink w:anchor="Item_1B_UnresolvedStaffComments">
              <w:r>
                <w:rPr>
                  <w:rStyle w:val="InternetLink"/>
                  <w:rFonts w:ascii="Times New Roman;serif" w:hAnsi="Times New Roman;serif"/>
                  <w:b w:val="false"/>
                  <w:i w:val="false"/>
                  <w:caps w:val="false"/>
                  <w:smallCaps w:val="false"/>
                  <w:strike w:val="false"/>
                  <w:dstrike w:val="false"/>
                  <w:color w:val="0000FF"/>
                  <w:sz w:val="20"/>
                  <w:u w:val="single"/>
                  <w:effect w:val="none"/>
                </w:rPr>
                <w:t>UNRESOLVED STAFF COMMENTS</w:t>
              </w:r>
            </w:hyperlink>
          </w:p>
        </w:tc>
        <w:tc>
          <w:tcPr>
            <w:tcW w:w="36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lineRule="auto" w:line="259" w:before="0" w:after="283"/>
              <w:jc w:val="left"/>
              <w:rPr/>
            </w:pPr>
            <w:hyperlink w:anchor="Item_1C_CyberSecurity">
              <w:r>
                <w:rPr>
                  <w:rStyle w:val="InternetLink"/>
                  <w:rFonts w:ascii="Times New Roman;serif" w:hAnsi="Times New Roman;serif"/>
                  <w:b w:val="false"/>
                  <w:i w:val="false"/>
                  <w:caps w:val="false"/>
                  <w:smallCaps w:val="false"/>
                  <w:strike w:val="false"/>
                  <w:dstrike w:val="false"/>
                  <w:color w:val="0000FF"/>
                  <w:sz w:val="20"/>
                  <w:u w:val="single"/>
                  <w:effect w:val="none"/>
                </w:rPr>
                <w:t>ITEM 1C.</w:t>
              </w:r>
            </w:hyperlink>
          </w:p>
        </w:tc>
        <w:tc>
          <w:tcPr>
            <w:tcW w:w="8919" w:type="dxa"/>
            <w:tcBorders/>
            <w:shd w:fill="CCEEFF" w:val="clear"/>
            <w:vAlign w:val="center"/>
          </w:tcPr>
          <w:p>
            <w:pPr>
              <w:pStyle w:val="TableContents"/>
              <w:bidi w:val="0"/>
              <w:spacing w:lineRule="auto" w:line="259" w:before="0" w:after="283"/>
              <w:jc w:val="left"/>
              <w:rPr/>
            </w:pPr>
            <w:hyperlink w:anchor="Item_1C_CyberSecurity">
              <w:r>
                <w:rPr>
                  <w:rStyle w:val="InternetLink"/>
                  <w:rFonts w:ascii="Times New Roman;serif" w:hAnsi="Times New Roman;serif"/>
                  <w:b w:val="false"/>
                  <w:i w:val="false"/>
                  <w:caps w:val="false"/>
                  <w:smallCaps w:val="false"/>
                  <w:strike w:val="false"/>
                  <w:dstrike w:val="false"/>
                  <w:color w:val="0000FF"/>
                  <w:sz w:val="20"/>
                  <w:u w:val="single"/>
                  <w:effect w:val="none"/>
                </w:rPr>
                <w:t>CYBERSECURITY</w:t>
              </w:r>
            </w:hyperlink>
          </w:p>
        </w:tc>
        <w:tc>
          <w:tcPr>
            <w:tcW w:w="36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uto" w:line="259" w:before="0" w:after="283"/>
              <w:jc w:val="left"/>
              <w:rPr/>
            </w:pPr>
            <w:hyperlink w:anchor="Item_2_Properties">
              <w:r>
                <w:rPr>
                  <w:rStyle w:val="InternetLink"/>
                  <w:rFonts w:ascii="Times New Roman;serif" w:hAnsi="Times New Roman;serif"/>
                  <w:b w:val="false"/>
                  <w:i w:val="false"/>
                  <w:caps w:val="false"/>
                  <w:smallCaps w:val="false"/>
                  <w:strike w:val="false"/>
                  <w:dstrike w:val="false"/>
                  <w:color w:val="0000FF"/>
                  <w:sz w:val="20"/>
                  <w:u w:val="single"/>
                  <w:effect w:val="none"/>
                </w:rPr>
                <w:t>ITEM 2</w:t>
              </w:r>
            </w:hyperlink>
            <w:r>
              <w:rPr>
                <w:rFonts w:ascii="Times New Roman;serif" w:hAnsi="Times New Roman;serif"/>
                <w:b w:val="false"/>
                <w:i w:val="false"/>
                <w:caps w:val="false"/>
                <w:smallCaps w:val="false"/>
                <w:color w:val="000000"/>
                <w:sz w:val="20"/>
              </w:rPr>
              <w:t>.</w:t>
            </w:r>
          </w:p>
        </w:tc>
        <w:tc>
          <w:tcPr>
            <w:tcW w:w="8919" w:type="dxa"/>
            <w:tcBorders/>
            <w:vAlign w:val="center"/>
          </w:tcPr>
          <w:p>
            <w:pPr>
              <w:pStyle w:val="TableContents"/>
              <w:bidi w:val="0"/>
              <w:spacing w:lineRule="auto" w:line="259" w:before="0" w:after="283"/>
              <w:jc w:val="left"/>
              <w:rPr/>
            </w:pPr>
            <w:hyperlink w:anchor="Item_2_Properties">
              <w:r>
                <w:rPr>
                  <w:rStyle w:val="InternetLink"/>
                  <w:rFonts w:ascii="Times New Roman;serif" w:hAnsi="Times New Roman;serif"/>
                  <w:b w:val="false"/>
                  <w:i w:val="false"/>
                  <w:caps w:val="false"/>
                  <w:smallCaps w:val="false"/>
                  <w:strike w:val="false"/>
                  <w:dstrike w:val="false"/>
                  <w:color w:val="0000FF"/>
                  <w:sz w:val="20"/>
                  <w:u w:val="single"/>
                  <w:effect w:val="none"/>
                </w:rPr>
                <w:t>PROPERTIES</w:t>
              </w:r>
            </w:hyperlink>
          </w:p>
        </w:tc>
        <w:tc>
          <w:tcPr>
            <w:tcW w:w="36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lineRule="auto" w:line="259" w:before="0" w:after="283"/>
              <w:jc w:val="left"/>
              <w:rPr/>
            </w:pPr>
            <w:hyperlink w:anchor="Item_3_LegalProceedings">
              <w:r>
                <w:rPr>
                  <w:rStyle w:val="InternetLink"/>
                  <w:rFonts w:ascii="Times New Roman;serif" w:hAnsi="Times New Roman;serif"/>
                  <w:b w:val="false"/>
                  <w:i w:val="false"/>
                  <w:caps w:val="false"/>
                  <w:smallCaps w:val="false"/>
                  <w:strike w:val="false"/>
                  <w:dstrike w:val="false"/>
                  <w:color w:val="0000FF"/>
                  <w:sz w:val="20"/>
                  <w:u w:val="single"/>
                  <w:effect w:val="none"/>
                </w:rPr>
                <w:t>ITEM 3</w:t>
              </w:r>
            </w:hyperlink>
            <w:r>
              <w:rPr>
                <w:rFonts w:ascii="Times New Roman;serif" w:hAnsi="Times New Roman;serif"/>
                <w:b w:val="false"/>
                <w:i w:val="false"/>
                <w:caps w:val="false"/>
                <w:smallCaps w:val="false"/>
                <w:color w:val="000000"/>
                <w:sz w:val="20"/>
              </w:rPr>
              <w:t>.</w:t>
            </w:r>
          </w:p>
        </w:tc>
        <w:tc>
          <w:tcPr>
            <w:tcW w:w="8919" w:type="dxa"/>
            <w:tcBorders/>
            <w:shd w:fill="CCEEFF" w:val="clear"/>
            <w:vAlign w:val="center"/>
          </w:tcPr>
          <w:p>
            <w:pPr>
              <w:pStyle w:val="TableContents"/>
              <w:bidi w:val="0"/>
              <w:spacing w:lineRule="auto" w:line="259" w:before="0" w:after="283"/>
              <w:jc w:val="left"/>
              <w:rPr/>
            </w:pPr>
            <w:hyperlink w:anchor="Item_3_LegalProceedings">
              <w:r>
                <w:rPr>
                  <w:rStyle w:val="InternetLink"/>
                  <w:rFonts w:ascii="Times New Roman;serif" w:hAnsi="Times New Roman;serif"/>
                  <w:b w:val="false"/>
                  <w:i w:val="false"/>
                  <w:caps w:val="false"/>
                  <w:smallCaps w:val="false"/>
                  <w:strike w:val="false"/>
                  <w:dstrike w:val="false"/>
                  <w:color w:val="0000FF"/>
                  <w:sz w:val="20"/>
                  <w:u w:val="single"/>
                  <w:effect w:val="none"/>
                </w:rPr>
                <w:t>LEGAL PROCEEDINGS</w:t>
              </w:r>
            </w:hyperlink>
          </w:p>
        </w:tc>
        <w:tc>
          <w:tcPr>
            <w:tcW w:w="36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1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uto" w:line="259" w:before="0" w:after="283"/>
              <w:jc w:val="left"/>
              <w:rPr/>
            </w:pPr>
            <w:hyperlink w:anchor="Item_4_MineSafetyDisclosures">
              <w:r>
                <w:rPr>
                  <w:rStyle w:val="InternetLink"/>
                  <w:rFonts w:ascii="Times New Roman;serif" w:hAnsi="Times New Roman;serif"/>
                  <w:b w:val="false"/>
                  <w:i w:val="false"/>
                  <w:caps w:val="false"/>
                  <w:smallCaps w:val="false"/>
                  <w:strike w:val="false"/>
                  <w:dstrike w:val="false"/>
                  <w:color w:val="0000FF"/>
                  <w:sz w:val="20"/>
                  <w:u w:val="single"/>
                  <w:effect w:val="none"/>
                </w:rPr>
                <w:t>ITEM 4</w:t>
              </w:r>
            </w:hyperlink>
            <w:r>
              <w:rPr>
                <w:rFonts w:ascii="Times New Roman;serif" w:hAnsi="Times New Roman;serif"/>
                <w:b w:val="false"/>
                <w:i w:val="false"/>
                <w:caps w:val="false"/>
                <w:smallCaps w:val="false"/>
                <w:color w:val="000000"/>
                <w:sz w:val="20"/>
              </w:rPr>
              <w:t>.</w:t>
            </w:r>
          </w:p>
        </w:tc>
        <w:tc>
          <w:tcPr>
            <w:tcW w:w="8919" w:type="dxa"/>
            <w:tcBorders/>
            <w:vAlign w:val="center"/>
          </w:tcPr>
          <w:p>
            <w:pPr>
              <w:pStyle w:val="TableContents"/>
              <w:bidi w:val="0"/>
              <w:spacing w:lineRule="auto" w:line="259" w:before="0" w:after="283"/>
              <w:jc w:val="left"/>
              <w:rPr/>
            </w:pPr>
            <w:hyperlink w:anchor="Item_4_MineSafetyDisclosures">
              <w:r>
                <w:rPr>
                  <w:rStyle w:val="InternetLink"/>
                  <w:rFonts w:ascii="Times New Roman;serif" w:hAnsi="Times New Roman;serif"/>
                  <w:b w:val="false"/>
                  <w:i w:val="false"/>
                  <w:caps w:val="false"/>
                  <w:smallCaps w:val="false"/>
                  <w:strike w:val="false"/>
                  <w:dstrike w:val="false"/>
                  <w:color w:val="0000FF"/>
                  <w:sz w:val="20"/>
                  <w:u w:val="single"/>
                  <w:effect w:val="none"/>
                </w:rPr>
                <w:t>MINE SAFETY DISCLOSURES</w:t>
              </w:r>
            </w:hyperlink>
          </w:p>
        </w:tc>
        <w:tc>
          <w:tcPr>
            <w:tcW w:w="36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8919"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362" w:type="dxa"/>
            <w:tcBorders/>
            <w:shd w:fill="CCEEFF" w:val="clear"/>
            <w:vAlign w:val="center"/>
          </w:tcPr>
          <w:p>
            <w:pPr>
              <w:pStyle w:val="TableContents"/>
              <w:bidi w:val="0"/>
              <w:spacing w:before="0" w:after="283"/>
              <w:jc w:val="left"/>
              <w:rPr>
                <w:sz w:val="4"/>
                <w:szCs w:val="4"/>
              </w:rPr>
            </w:pPr>
            <w:r>
              <w:rPr>
                <w:sz w:val="4"/>
                <w:szCs w:val="4"/>
              </w:rPr>
            </w:r>
          </w:p>
        </w:tc>
      </w:tr>
      <w:tr>
        <w:trPr/>
        <w:tc>
          <w:tcPr>
            <w:tcW w:w="924"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PART II</w:t>
            </w:r>
          </w:p>
        </w:tc>
        <w:tc>
          <w:tcPr>
            <w:tcW w:w="891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lineRule="auto" w:line="259" w:before="0" w:after="283"/>
              <w:jc w:val="left"/>
              <w:rPr/>
            </w:pPr>
            <w:hyperlink w:anchor="Item_5_MarketForTheRegistrantsCommon">
              <w:r>
                <w:rPr>
                  <w:rStyle w:val="InternetLink"/>
                  <w:rFonts w:ascii="Times New Roman;serif" w:hAnsi="Times New Roman;serif"/>
                  <w:b w:val="false"/>
                  <w:i w:val="false"/>
                  <w:caps w:val="false"/>
                  <w:smallCaps w:val="false"/>
                  <w:strike w:val="false"/>
                  <w:dstrike w:val="false"/>
                  <w:color w:val="0000FF"/>
                  <w:sz w:val="20"/>
                  <w:u w:val="single"/>
                  <w:effect w:val="none"/>
                </w:rPr>
                <w:t>ITEM 5</w:t>
              </w:r>
            </w:hyperlink>
            <w:r>
              <w:rPr>
                <w:rFonts w:ascii="Times New Roman;serif" w:hAnsi="Times New Roman;serif"/>
                <w:b w:val="false"/>
                <w:i w:val="false"/>
                <w:caps w:val="false"/>
                <w:smallCaps w:val="false"/>
                <w:color w:val="000000"/>
                <w:sz w:val="20"/>
              </w:rPr>
              <w:t>.</w:t>
            </w:r>
          </w:p>
        </w:tc>
        <w:tc>
          <w:tcPr>
            <w:tcW w:w="8919" w:type="dxa"/>
            <w:tcBorders/>
            <w:shd w:fill="CCEEFF" w:val="clear"/>
            <w:vAlign w:val="center"/>
          </w:tcPr>
          <w:p>
            <w:pPr>
              <w:pStyle w:val="TableContents"/>
              <w:bidi w:val="0"/>
              <w:spacing w:lineRule="auto" w:line="259" w:before="0" w:after="283"/>
              <w:jc w:val="left"/>
              <w:rPr/>
            </w:pPr>
            <w:hyperlink w:anchor="Item_5_MarketForTheRegistrantsCommon">
              <w:r>
                <w:rPr>
                  <w:rStyle w:val="InternetLink"/>
                  <w:rFonts w:ascii="Times New Roman;serif" w:hAnsi="Times New Roman;serif"/>
                  <w:b w:val="false"/>
                  <w:i w:val="false"/>
                  <w:caps w:val="false"/>
                  <w:smallCaps w:val="false"/>
                  <w:strike w:val="false"/>
                  <w:dstrike w:val="false"/>
                  <w:color w:val="0000FF"/>
                  <w:sz w:val="20"/>
                  <w:u w:val="single"/>
                  <w:effect w:val="none"/>
                </w:rPr>
                <w:t>MARKET FOR THE REGISTRANT’S COMMON EQUITY, RELATED STOCKHOLDER MATTERS AND ISSUER PURCHASES OF EQUITY SECURITIES</w:t>
              </w:r>
            </w:hyperlink>
          </w:p>
        </w:tc>
        <w:tc>
          <w:tcPr>
            <w:tcW w:w="36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r>
      <w:tr>
        <w:trPr/>
        <w:tc>
          <w:tcPr>
            <w:tcW w:w="1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uto" w:line="259" w:before="0" w:after="283"/>
              <w:jc w:val="left"/>
              <w:rPr/>
            </w:pPr>
            <w:hyperlink w:anchor="Item_6_Reserved">
              <w:r>
                <w:rPr>
                  <w:rStyle w:val="InternetLink"/>
                  <w:rFonts w:ascii="Times New Roman;serif" w:hAnsi="Times New Roman;serif"/>
                  <w:b w:val="false"/>
                  <w:i w:val="false"/>
                  <w:caps w:val="false"/>
                  <w:smallCaps w:val="false"/>
                  <w:strike w:val="false"/>
                  <w:dstrike w:val="false"/>
                  <w:color w:val="0000FF"/>
                  <w:sz w:val="20"/>
                  <w:u w:val="single"/>
                  <w:effect w:val="none"/>
                </w:rPr>
                <w:t>ITEM 6.</w:t>
              </w:r>
            </w:hyperlink>
          </w:p>
        </w:tc>
        <w:tc>
          <w:tcPr>
            <w:tcW w:w="8919" w:type="dxa"/>
            <w:tcBorders/>
            <w:vAlign w:val="center"/>
          </w:tcPr>
          <w:p>
            <w:pPr>
              <w:pStyle w:val="TableContents"/>
              <w:bidi w:val="0"/>
              <w:spacing w:lineRule="auto" w:line="259" w:before="0" w:after="283"/>
              <w:jc w:val="left"/>
              <w:rPr/>
            </w:pPr>
            <w:hyperlink w:anchor="Item_6_Reserved">
              <w:r>
                <w:rPr>
                  <w:rStyle w:val="InternetLink"/>
                  <w:rFonts w:ascii="Times New Roman;serif" w:hAnsi="Times New Roman;serif"/>
                  <w:b w:val="false"/>
                  <w:i w:val="false"/>
                  <w:caps w:val="false"/>
                  <w:smallCaps w:val="false"/>
                  <w:strike w:val="false"/>
                  <w:dstrike w:val="false"/>
                  <w:color w:val="0000FF"/>
                  <w:sz w:val="20"/>
                  <w:u w:val="single"/>
                  <w:effect w:val="none"/>
                </w:rPr>
                <w:t>[RESERVED]</w:t>
              </w:r>
            </w:hyperlink>
          </w:p>
        </w:tc>
        <w:tc>
          <w:tcPr>
            <w:tcW w:w="36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lineRule="auto" w:line="259" w:before="0" w:after="283"/>
              <w:jc w:val="left"/>
              <w:rPr/>
            </w:pPr>
            <w:hyperlink w:anchor="Item_7_MDA">
              <w:r>
                <w:rPr>
                  <w:rStyle w:val="InternetLink"/>
                  <w:rFonts w:ascii="Times New Roman;serif" w:hAnsi="Times New Roman;serif"/>
                  <w:b w:val="false"/>
                  <w:i w:val="false"/>
                  <w:caps w:val="false"/>
                  <w:smallCaps w:val="false"/>
                  <w:strike w:val="false"/>
                  <w:dstrike w:val="false"/>
                  <w:color w:val="0000FF"/>
                  <w:sz w:val="20"/>
                  <w:u w:val="single"/>
                  <w:effect w:val="none"/>
                </w:rPr>
                <w:t>ITEM 7</w:t>
              </w:r>
            </w:hyperlink>
            <w:r>
              <w:rPr>
                <w:rFonts w:ascii="Times New Roman;serif" w:hAnsi="Times New Roman;serif"/>
                <w:b w:val="false"/>
                <w:i w:val="false"/>
                <w:caps w:val="false"/>
                <w:smallCaps w:val="false"/>
                <w:color w:val="000000"/>
                <w:sz w:val="20"/>
              </w:rPr>
              <w:t>.</w:t>
            </w:r>
          </w:p>
        </w:tc>
        <w:tc>
          <w:tcPr>
            <w:tcW w:w="8919" w:type="dxa"/>
            <w:tcBorders/>
            <w:shd w:fill="CCEEFF" w:val="clear"/>
            <w:vAlign w:val="center"/>
          </w:tcPr>
          <w:p>
            <w:pPr>
              <w:pStyle w:val="TableContents"/>
              <w:bidi w:val="0"/>
              <w:spacing w:lineRule="auto" w:line="259" w:before="0" w:after="283"/>
              <w:jc w:val="left"/>
              <w:rPr/>
            </w:pPr>
            <w:hyperlink w:anchor="Item_7_MDA">
              <w:r>
                <w:rPr>
                  <w:rStyle w:val="InternetLink"/>
                  <w:rFonts w:ascii="Times New Roman;serif" w:hAnsi="Times New Roman;serif"/>
                  <w:b w:val="false"/>
                  <w:i w:val="false"/>
                  <w:caps w:val="false"/>
                  <w:smallCaps w:val="false"/>
                  <w:strike w:val="false"/>
                  <w:dstrike w:val="false"/>
                  <w:color w:val="0000FF"/>
                  <w:sz w:val="20"/>
                  <w:u w:val="single"/>
                  <w:effect w:val="none"/>
                </w:rPr>
                <w:t>MANAGEMENT’S DISCUSSION AND ANALYSIS OF FINANCIAL CONDITION AND RESULTS OF OPERATIONS</w:t>
              </w:r>
            </w:hyperlink>
          </w:p>
        </w:tc>
        <w:tc>
          <w:tcPr>
            <w:tcW w:w="36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r>
      <w:tr>
        <w:trPr/>
        <w:tc>
          <w:tcPr>
            <w:tcW w:w="1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uto" w:line="259" w:before="0" w:after="283"/>
              <w:jc w:val="left"/>
              <w:rPr/>
            </w:pPr>
            <w:hyperlink w:anchor="Item_7A_QuantitativeandDisclosures">
              <w:r>
                <w:rPr>
                  <w:rStyle w:val="InternetLink"/>
                  <w:rFonts w:ascii="Times New Roman;serif" w:hAnsi="Times New Roman;serif"/>
                  <w:b w:val="false"/>
                  <w:i w:val="false"/>
                  <w:caps w:val="false"/>
                  <w:smallCaps w:val="false"/>
                  <w:strike w:val="false"/>
                  <w:dstrike w:val="false"/>
                  <w:color w:val="0000FF"/>
                  <w:sz w:val="20"/>
                  <w:u w:val="single"/>
                  <w:effect w:val="none"/>
                </w:rPr>
                <w:t>ITEM 7A.</w:t>
              </w:r>
            </w:hyperlink>
          </w:p>
        </w:tc>
        <w:tc>
          <w:tcPr>
            <w:tcW w:w="8919" w:type="dxa"/>
            <w:tcBorders/>
            <w:vAlign w:val="center"/>
          </w:tcPr>
          <w:p>
            <w:pPr>
              <w:pStyle w:val="TableContents"/>
              <w:bidi w:val="0"/>
              <w:spacing w:lineRule="auto" w:line="259" w:before="0" w:after="283"/>
              <w:jc w:val="left"/>
              <w:rPr/>
            </w:pPr>
            <w:hyperlink w:anchor="Item_7A_QuantitativeandDisclosures">
              <w:r>
                <w:rPr>
                  <w:rStyle w:val="InternetLink"/>
                  <w:rFonts w:ascii="Times New Roman;serif" w:hAnsi="Times New Roman;serif"/>
                  <w:b w:val="false"/>
                  <w:i w:val="false"/>
                  <w:caps w:val="false"/>
                  <w:smallCaps w:val="false"/>
                  <w:strike w:val="false"/>
                  <w:dstrike w:val="false"/>
                  <w:color w:val="0000FF"/>
                  <w:sz w:val="20"/>
                  <w:u w:val="single"/>
                  <w:effect w:val="none"/>
                </w:rPr>
                <w:t>QUANTITATIVE AND QUALITATIVE DISCLOSURES ABOUT MARKET RISK</w:t>
              </w:r>
            </w:hyperlink>
          </w:p>
        </w:tc>
        <w:tc>
          <w:tcPr>
            <w:tcW w:w="36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lineRule="auto" w:line="259" w:before="0" w:after="283"/>
              <w:jc w:val="left"/>
              <w:rPr/>
            </w:pPr>
            <w:hyperlink w:anchor="Item_8_ConsolidatedFinancialStatements">
              <w:r>
                <w:rPr>
                  <w:rStyle w:val="InternetLink"/>
                  <w:rFonts w:ascii="Times New Roman;serif" w:hAnsi="Times New Roman;serif"/>
                  <w:b w:val="false"/>
                  <w:i w:val="false"/>
                  <w:caps w:val="false"/>
                  <w:smallCaps w:val="false"/>
                  <w:strike w:val="false"/>
                  <w:dstrike w:val="false"/>
                  <w:color w:val="0000FF"/>
                  <w:sz w:val="20"/>
                  <w:u w:val="single"/>
                  <w:effect w:val="none"/>
                </w:rPr>
                <w:t>ITEM 8</w:t>
              </w:r>
            </w:hyperlink>
            <w:r>
              <w:rPr>
                <w:rFonts w:ascii="Times New Roman;serif" w:hAnsi="Times New Roman;serif"/>
                <w:b w:val="false"/>
                <w:i w:val="false"/>
                <w:caps w:val="false"/>
                <w:smallCaps w:val="false"/>
                <w:color w:val="000000"/>
                <w:sz w:val="20"/>
              </w:rPr>
              <w:t>.</w:t>
            </w:r>
          </w:p>
        </w:tc>
        <w:tc>
          <w:tcPr>
            <w:tcW w:w="8919" w:type="dxa"/>
            <w:tcBorders/>
            <w:shd w:fill="CCEEFF" w:val="clear"/>
            <w:vAlign w:val="center"/>
          </w:tcPr>
          <w:p>
            <w:pPr>
              <w:pStyle w:val="TableContents"/>
              <w:bidi w:val="0"/>
              <w:spacing w:lineRule="auto" w:line="259" w:before="0" w:after="283"/>
              <w:jc w:val="left"/>
              <w:rPr/>
            </w:pPr>
            <w:hyperlink w:anchor="Item_8_ConsolidatedFinancialStatements">
              <w:r>
                <w:rPr>
                  <w:rStyle w:val="InternetLink"/>
                  <w:rFonts w:ascii="Times New Roman;serif" w:hAnsi="Times New Roman;serif"/>
                  <w:b w:val="false"/>
                  <w:i w:val="false"/>
                  <w:caps w:val="false"/>
                  <w:smallCaps w:val="false"/>
                  <w:strike w:val="false"/>
                  <w:dstrike w:val="false"/>
                  <w:color w:val="0000FF"/>
                  <w:sz w:val="20"/>
                  <w:u w:val="single"/>
                  <w:effect w:val="none"/>
                </w:rPr>
                <w:t>FINANCIAL STATEMENTS AND SUPPLEMENTARY DATA</w:t>
              </w:r>
            </w:hyperlink>
          </w:p>
        </w:tc>
        <w:tc>
          <w:tcPr>
            <w:tcW w:w="36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uto" w:line="259" w:before="0" w:after="283"/>
              <w:jc w:val="left"/>
              <w:rPr/>
            </w:pPr>
            <w:hyperlink w:anchor="Item_9_ChangesInAndDisagreementsWithAcct">
              <w:r>
                <w:rPr>
                  <w:rStyle w:val="InternetLink"/>
                  <w:rFonts w:ascii="Times New Roman;serif" w:hAnsi="Times New Roman;serif"/>
                  <w:b w:val="false"/>
                  <w:i w:val="false"/>
                  <w:caps w:val="false"/>
                  <w:smallCaps w:val="false"/>
                  <w:strike w:val="false"/>
                  <w:dstrike w:val="false"/>
                  <w:color w:val="0000FF"/>
                  <w:sz w:val="20"/>
                  <w:u w:val="single"/>
                  <w:effect w:val="none"/>
                </w:rPr>
                <w:t>ITEM 9</w:t>
              </w:r>
            </w:hyperlink>
            <w:r>
              <w:rPr>
                <w:rFonts w:ascii="Times New Roman;serif" w:hAnsi="Times New Roman;serif"/>
                <w:b w:val="false"/>
                <w:i w:val="false"/>
                <w:caps w:val="false"/>
                <w:smallCaps w:val="false"/>
                <w:color w:val="000000"/>
                <w:sz w:val="20"/>
              </w:rPr>
              <w:t>.</w:t>
            </w:r>
          </w:p>
        </w:tc>
        <w:tc>
          <w:tcPr>
            <w:tcW w:w="8919" w:type="dxa"/>
            <w:tcBorders/>
            <w:vAlign w:val="center"/>
          </w:tcPr>
          <w:p>
            <w:pPr>
              <w:pStyle w:val="TableContents"/>
              <w:bidi w:val="0"/>
              <w:spacing w:lineRule="auto" w:line="259" w:before="0" w:after="283"/>
              <w:jc w:val="left"/>
              <w:rPr/>
            </w:pPr>
            <w:hyperlink w:anchor="Item_9_ChangesInAndDisagreementsWithAcct">
              <w:r>
                <w:rPr>
                  <w:rStyle w:val="InternetLink"/>
                  <w:rFonts w:ascii="Times New Roman;serif" w:hAnsi="Times New Roman;serif"/>
                  <w:b w:val="false"/>
                  <w:i w:val="false"/>
                  <w:caps w:val="false"/>
                  <w:smallCaps w:val="false"/>
                  <w:strike w:val="false"/>
                  <w:dstrike w:val="false"/>
                  <w:color w:val="0000FF"/>
                  <w:sz w:val="20"/>
                  <w:u w:val="single"/>
                  <w:effect w:val="none"/>
                </w:rPr>
                <w:t>CHANGES IN AND DISAGREEMENTS WITH ACCOUNTANTS ON ACCOUNTING AND FINANCIAL DISCLOSURE</w:t>
              </w:r>
            </w:hyperlink>
          </w:p>
        </w:tc>
        <w:tc>
          <w:tcPr>
            <w:tcW w:w="36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lineRule="auto" w:line="259" w:before="0" w:after="283"/>
              <w:jc w:val="left"/>
              <w:rPr/>
            </w:pPr>
            <w:hyperlink w:anchor="ITEM_9A_CONTROLSANDPROCEDURES">
              <w:r>
                <w:rPr>
                  <w:rStyle w:val="InternetLink"/>
                  <w:rFonts w:ascii="Times New Roman;serif" w:hAnsi="Times New Roman;serif"/>
                  <w:b w:val="false"/>
                  <w:i w:val="false"/>
                  <w:caps w:val="false"/>
                  <w:smallCaps w:val="false"/>
                  <w:strike w:val="false"/>
                  <w:dstrike w:val="false"/>
                  <w:color w:val="0000FF"/>
                  <w:sz w:val="20"/>
                  <w:u w:val="single"/>
                  <w:effect w:val="none"/>
                </w:rPr>
                <w:t>ITEM 9A.</w:t>
              </w:r>
            </w:hyperlink>
          </w:p>
        </w:tc>
        <w:tc>
          <w:tcPr>
            <w:tcW w:w="8919" w:type="dxa"/>
            <w:tcBorders/>
            <w:shd w:fill="CCEEFF" w:val="clear"/>
            <w:vAlign w:val="center"/>
          </w:tcPr>
          <w:p>
            <w:pPr>
              <w:pStyle w:val="TableContents"/>
              <w:bidi w:val="0"/>
              <w:spacing w:lineRule="auto" w:line="259" w:before="0" w:after="283"/>
              <w:jc w:val="left"/>
              <w:rPr/>
            </w:pPr>
            <w:hyperlink w:anchor="ITEM_9A_CONTROLSANDPROCEDURES">
              <w:r>
                <w:rPr>
                  <w:rStyle w:val="InternetLink"/>
                  <w:rFonts w:ascii="Times New Roman;serif" w:hAnsi="Times New Roman;serif"/>
                  <w:b w:val="false"/>
                  <w:i w:val="false"/>
                  <w:caps w:val="false"/>
                  <w:smallCaps w:val="false"/>
                  <w:strike w:val="false"/>
                  <w:dstrike w:val="false"/>
                  <w:color w:val="0000FF"/>
                  <w:sz w:val="20"/>
                  <w:u w:val="single"/>
                  <w:effect w:val="none"/>
                </w:rPr>
                <w:t>CONTROLS AND PROCEDURES</w:t>
              </w:r>
            </w:hyperlink>
          </w:p>
        </w:tc>
        <w:tc>
          <w:tcPr>
            <w:tcW w:w="36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uto" w:line="259" w:before="0" w:after="283"/>
              <w:jc w:val="left"/>
              <w:rPr/>
            </w:pPr>
            <w:hyperlink w:anchor="ITEM_9B_OTHERINFORMATION">
              <w:r>
                <w:rPr>
                  <w:rStyle w:val="InternetLink"/>
                  <w:rFonts w:ascii="Times New Roman;serif" w:hAnsi="Times New Roman;serif"/>
                  <w:b w:val="false"/>
                  <w:i w:val="false"/>
                  <w:caps w:val="false"/>
                  <w:smallCaps w:val="false"/>
                  <w:strike w:val="false"/>
                  <w:dstrike w:val="false"/>
                  <w:color w:val="0000FF"/>
                  <w:sz w:val="20"/>
                  <w:u w:val="single"/>
                  <w:effect w:val="none"/>
                </w:rPr>
                <w:t>ITEM 9B.</w:t>
              </w:r>
            </w:hyperlink>
          </w:p>
        </w:tc>
        <w:tc>
          <w:tcPr>
            <w:tcW w:w="8919" w:type="dxa"/>
            <w:tcBorders/>
            <w:vAlign w:val="center"/>
          </w:tcPr>
          <w:p>
            <w:pPr>
              <w:pStyle w:val="TableContents"/>
              <w:bidi w:val="0"/>
              <w:spacing w:lineRule="auto" w:line="259" w:before="0" w:after="283"/>
              <w:jc w:val="left"/>
              <w:rPr/>
            </w:pPr>
            <w:hyperlink w:anchor="ITEM_9B_OTHERINFORMATION">
              <w:r>
                <w:rPr>
                  <w:rStyle w:val="InternetLink"/>
                  <w:rFonts w:ascii="Times New Roman;serif" w:hAnsi="Times New Roman;serif"/>
                  <w:b w:val="false"/>
                  <w:i w:val="false"/>
                  <w:caps w:val="false"/>
                  <w:smallCaps w:val="false"/>
                  <w:strike w:val="false"/>
                  <w:dstrike w:val="false"/>
                  <w:color w:val="0000FF"/>
                  <w:sz w:val="20"/>
                  <w:u w:val="single"/>
                  <w:effect w:val="none"/>
                </w:rPr>
                <w:t>OTHER INFORMATION</w:t>
              </w:r>
            </w:hyperlink>
          </w:p>
        </w:tc>
        <w:tc>
          <w:tcPr>
            <w:tcW w:w="36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lineRule="auto" w:line="259" w:before="0" w:after="283"/>
              <w:jc w:val="left"/>
              <w:rPr/>
            </w:pPr>
            <w:hyperlink w:anchor="ITEM_9C_DISCLOSUREREGARDINGFOREIGNJURIS">
              <w:r>
                <w:rPr>
                  <w:rStyle w:val="InternetLink"/>
                  <w:rFonts w:ascii="Times New Roman;serif" w:hAnsi="Times New Roman;serif"/>
                  <w:b w:val="false"/>
                  <w:i w:val="false"/>
                  <w:caps w:val="false"/>
                  <w:smallCaps w:val="false"/>
                  <w:strike w:val="false"/>
                  <w:dstrike w:val="false"/>
                  <w:color w:val="0000FF"/>
                  <w:sz w:val="20"/>
                  <w:u w:val="single"/>
                  <w:effect w:val="none"/>
                </w:rPr>
                <w:t>ITEM 9C.</w:t>
              </w:r>
            </w:hyperlink>
          </w:p>
        </w:tc>
        <w:tc>
          <w:tcPr>
            <w:tcW w:w="8919" w:type="dxa"/>
            <w:tcBorders/>
            <w:shd w:fill="CCEEFF" w:val="clear"/>
            <w:vAlign w:val="center"/>
          </w:tcPr>
          <w:p>
            <w:pPr>
              <w:pStyle w:val="TableContents"/>
              <w:bidi w:val="0"/>
              <w:spacing w:lineRule="auto" w:line="259" w:before="0" w:after="283"/>
              <w:jc w:val="left"/>
              <w:rPr/>
            </w:pPr>
            <w:hyperlink w:anchor="ITEM_9C_DISCLOSUREREGARDINGFOREIGNJURIS">
              <w:r>
                <w:rPr>
                  <w:rStyle w:val="InternetLink"/>
                  <w:rFonts w:ascii="Times New Roman;serif" w:hAnsi="Times New Roman;serif"/>
                  <w:b w:val="false"/>
                  <w:i w:val="false"/>
                  <w:caps w:val="false"/>
                  <w:smallCaps w:val="false"/>
                  <w:strike w:val="false"/>
                  <w:dstrike w:val="false"/>
                  <w:color w:val="0000FF"/>
                  <w:sz w:val="20"/>
                  <w:u w:val="single"/>
                  <w:effect w:val="none"/>
                </w:rPr>
                <w:t>DISCLOSURE REGARDING FOREIGN JURISDICTIONS THAT PREVENT INSPECTIONS</w:t>
              </w:r>
            </w:hyperlink>
          </w:p>
        </w:tc>
        <w:tc>
          <w:tcPr>
            <w:tcW w:w="36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r>
      <w:tr>
        <w:trPr/>
        <w:tc>
          <w:tcPr>
            <w:tcW w:w="1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8919"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362" w:type="dxa"/>
            <w:tcBorders/>
            <w:vAlign w:val="center"/>
          </w:tcPr>
          <w:p>
            <w:pPr>
              <w:pStyle w:val="TableContents"/>
              <w:bidi w:val="0"/>
              <w:spacing w:before="0" w:after="283"/>
              <w:jc w:val="left"/>
              <w:rPr>
                <w:sz w:val="4"/>
                <w:szCs w:val="4"/>
              </w:rPr>
            </w:pPr>
            <w:r>
              <w:rPr>
                <w:sz w:val="4"/>
                <w:szCs w:val="4"/>
              </w:rPr>
            </w:r>
          </w:p>
        </w:tc>
      </w:tr>
      <w:tr>
        <w:trPr/>
        <w:tc>
          <w:tcPr>
            <w:tcW w:w="924" w:type="dxa"/>
            <w:gridSpan w:val="2"/>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PART III</w:t>
            </w:r>
          </w:p>
        </w:tc>
        <w:tc>
          <w:tcPr>
            <w:tcW w:w="8919" w:type="dxa"/>
            <w:tcBorders/>
            <w:shd w:fill="CCEEFF" w:val="clear"/>
            <w:vAlign w:val="center"/>
          </w:tcPr>
          <w:p>
            <w:pPr>
              <w:pStyle w:val="TableContents"/>
              <w:bidi w:val="0"/>
              <w:spacing w:before="0" w:after="283"/>
              <w:jc w:val="left"/>
              <w:rPr>
                <w:sz w:val="4"/>
                <w:szCs w:val="4"/>
              </w:rPr>
            </w:pPr>
            <w:r>
              <w:rPr>
                <w:sz w:val="4"/>
                <w:szCs w:val="4"/>
              </w:rPr>
            </w:r>
          </w:p>
        </w:tc>
        <w:tc>
          <w:tcPr>
            <w:tcW w:w="362" w:type="dxa"/>
            <w:tcBorders/>
            <w:shd w:fill="CCEEFF"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uto" w:line="259" w:before="0" w:after="283"/>
              <w:jc w:val="left"/>
              <w:rPr/>
            </w:pPr>
            <w:hyperlink w:anchor="Item_10_DirectorsExecutiveOfficers">
              <w:r>
                <w:rPr>
                  <w:rStyle w:val="InternetLink"/>
                  <w:rFonts w:ascii="Times New Roman;serif" w:hAnsi="Times New Roman;serif"/>
                  <w:b w:val="false"/>
                  <w:i w:val="false"/>
                  <w:caps w:val="false"/>
                  <w:smallCaps w:val="false"/>
                  <w:strike w:val="false"/>
                  <w:dstrike w:val="false"/>
                  <w:color w:val="0000FF"/>
                  <w:sz w:val="20"/>
                  <w:u w:val="single"/>
                  <w:effect w:val="none"/>
                </w:rPr>
                <w:t>ITEM 10</w:t>
              </w:r>
            </w:hyperlink>
            <w:r>
              <w:rPr>
                <w:rFonts w:ascii="Times New Roman;serif" w:hAnsi="Times New Roman;serif"/>
                <w:b w:val="false"/>
                <w:i w:val="false"/>
                <w:caps w:val="false"/>
                <w:smallCaps w:val="false"/>
                <w:color w:val="000000"/>
                <w:sz w:val="20"/>
              </w:rPr>
              <w:t>.</w:t>
            </w:r>
          </w:p>
        </w:tc>
        <w:tc>
          <w:tcPr>
            <w:tcW w:w="8919" w:type="dxa"/>
            <w:tcBorders/>
            <w:vAlign w:val="center"/>
          </w:tcPr>
          <w:p>
            <w:pPr>
              <w:pStyle w:val="TableContents"/>
              <w:bidi w:val="0"/>
              <w:spacing w:lineRule="auto" w:line="259" w:before="0" w:after="283"/>
              <w:jc w:val="left"/>
              <w:rPr/>
            </w:pPr>
            <w:hyperlink w:anchor="Item_10_DirectorsExecutiveOfficers">
              <w:r>
                <w:rPr>
                  <w:rStyle w:val="InternetLink"/>
                  <w:rFonts w:ascii="Times New Roman;serif" w:hAnsi="Times New Roman;serif"/>
                  <w:b w:val="false"/>
                  <w:i w:val="false"/>
                  <w:caps w:val="false"/>
                  <w:smallCaps w:val="false"/>
                  <w:strike w:val="false"/>
                  <w:dstrike w:val="false"/>
                  <w:color w:val="0000FF"/>
                  <w:sz w:val="20"/>
                  <w:u w:val="single"/>
                  <w:effect w:val="none"/>
                </w:rPr>
                <w:t>DIRECTORS, EXECUTIVE OFFICERS AND CORPORATE GOVERNANCE</w:t>
              </w:r>
            </w:hyperlink>
          </w:p>
        </w:tc>
        <w:tc>
          <w:tcPr>
            <w:tcW w:w="36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lineRule="auto" w:line="259" w:before="0" w:after="283"/>
              <w:jc w:val="left"/>
              <w:rPr/>
            </w:pPr>
            <w:hyperlink w:anchor="ITEM_11_EXECUTIVE_COMPENSATION">
              <w:r>
                <w:rPr>
                  <w:rStyle w:val="InternetLink"/>
                  <w:rFonts w:ascii="Times New Roman;serif" w:hAnsi="Times New Roman;serif"/>
                  <w:b w:val="false"/>
                  <w:i w:val="false"/>
                  <w:caps w:val="false"/>
                  <w:smallCaps w:val="false"/>
                  <w:strike w:val="false"/>
                  <w:dstrike w:val="false"/>
                  <w:color w:val="0000FF"/>
                  <w:sz w:val="20"/>
                  <w:u w:val="single"/>
                  <w:effect w:val="none"/>
                </w:rPr>
                <w:t>ITEM 11.</w:t>
              </w:r>
            </w:hyperlink>
          </w:p>
        </w:tc>
        <w:tc>
          <w:tcPr>
            <w:tcW w:w="8919" w:type="dxa"/>
            <w:tcBorders/>
            <w:shd w:fill="CCEEFF" w:val="clear"/>
            <w:vAlign w:val="center"/>
          </w:tcPr>
          <w:p>
            <w:pPr>
              <w:pStyle w:val="TableContents"/>
              <w:bidi w:val="0"/>
              <w:spacing w:lineRule="auto" w:line="259" w:before="0" w:after="283"/>
              <w:jc w:val="left"/>
              <w:rPr/>
            </w:pPr>
            <w:hyperlink w:anchor="ITEM_11_EXECUTIVE_COMPENSATION">
              <w:r>
                <w:rPr>
                  <w:rStyle w:val="InternetLink"/>
                  <w:rFonts w:ascii="Times New Roman;serif" w:hAnsi="Times New Roman;serif"/>
                  <w:b w:val="false"/>
                  <w:i w:val="false"/>
                  <w:caps w:val="false"/>
                  <w:smallCaps w:val="false"/>
                  <w:strike w:val="false"/>
                  <w:dstrike w:val="false"/>
                  <w:color w:val="0000FF"/>
                  <w:sz w:val="20"/>
                  <w:u w:val="single"/>
                  <w:effect w:val="none"/>
                </w:rPr>
                <w:t>EXECUTIVE COMPENSATION</w:t>
              </w:r>
            </w:hyperlink>
          </w:p>
        </w:tc>
        <w:tc>
          <w:tcPr>
            <w:tcW w:w="36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uto" w:line="259" w:before="0" w:after="283"/>
              <w:jc w:val="left"/>
              <w:rPr/>
            </w:pPr>
            <w:hyperlink w:anchor="Item_12_SecurityOwnershipOfCertain">
              <w:r>
                <w:rPr>
                  <w:rStyle w:val="InternetLink"/>
                  <w:rFonts w:ascii="Times New Roman;serif" w:hAnsi="Times New Roman;serif"/>
                  <w:b w:val="false"/>
                  <w:i w:val="false"/>
                  <w:caps w:val="false"/>
                  <w:smallCaps w:val="false"/>
                  <w:strike w:val="false"/>
                  <w:dstrike w:val="false"/>
                  <w:color w:val="0000FF"/>
                  <w:sz w:val="20"/>
                  <w:u w:val="single"/>
                  <w:effect w:val="none"/>
                </w:rPr>
                <w:t>ITEM 12</w:t>
              </w:r>
            </w:hyperlink>
            <w:r>
              <w:rPr>
                <w:rFonts w:ascii="Times New Roman;serif" w:hAnsi="Times New Roman;serif"/>
                <w:b w:val="false"/>
                <w:i w:val="false"/>
                <w:caps w:val="false"/>
                <w:smallCaps w:val="false"/>
                <w:color w:val="000000"/>
                <w:sz w:val="20"/>
              </w:rPr>
              <w:t>.</w:t>
            </w:r>
          </w:p>
        </w:tc>
        <w:tc>
          <w:tcPr>
            <w:tcW w:w="8919" w:type="dxa"/>
            <w:tcBorders/>
            <w:vAlign w:val="center"/>
          </w:tcPr>
          <w:p>
            <w:pPr>
              <w:pStyle w:val="TableContents"/>
              <w:bidi w:val="0"/>
              <w:spacing w:lineRule="auto" w:line="259" w:before="0" w:after="283"/>
              <w:jc w:val="left"/>
              <w:rPr/>
            </w:pPr>
            <w:hyperlink w:anchor="Item_12_SecurityOwnershipOfCertain">
              <w:r>
                <w:rPr>
                  <w:rStyle w:val="InternetLink"/>
                  <w:rFonts w:ascii="Times New Roman;serif" w:hAnsi="Times New Roman;serif"/>
                  <w:b w:val="false"/>
                  <w:i w:val="false"/>
                  <w:caps w:val="false"/>
                  <w:smallCaps w:val="false"/>
                  <w:strike w:val="false"/>
                  <w:dstrike w:val="false"/>
                  <w:color w:val="0000FF"/>
                  <w:sz w:val="20"/>
                  <w:u w:val="single"/>
                  <w:effect w:val="none"/>
                </w:rPr>
                <w:t>SECURITY OWNERSHIP OF CERTAIN BENEFICIAL OWNERS AND MANAGEMENT AND RELATED STOCKHOLDER MATTERS</w:t>
              </w:r>
            </w:hyperlink>
          </w:p>
        </w:tc>
        <w:tc>
          <w:tcPr>
            <w:tcW w:w="36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lineRule="auto" w:line="259" w:before="0" w:after="283"/>
              <w:jc w:val="left"/>
              <w:rPr/>
            </w:pPr>
            <w:hyperlink w:anchor="Item_13_CertainRelationshipsAndRelated">
              <w:r>
                <w:rPr>
                  <w:rStyle w:val="InternetLink"/>
                  <w:rFonts w:ascii="Times New Roman;serif" w:hAnsi="Times New Roman;serif"/>
                  <w:b w:val="false"/>
                  <w:i w:val="false"/>
                  <w:caps w:val="false"/>
                  <w:smallCaps w:val="false"/>
                  <w:strike w:val="false"/>
                  <w:dstrike w:val="false"/>
                  <w:color w:val="0000FF"/>
                  <w:sz w:val="20"/>
                  <w:u w:val="single"/>
                  <w:effect w:val="none"/>
                </w:rPr>
                <w:t>ITEM 13</w:t>
              </w:r>
            </w:hyperlink>
            <w:r>
              <w:rPr>
                <w:rFonts w:ascii="Times New Roman;serif" w:hAnsi="Times New Roman;serif"/>
                <w:b w:val="false"/>
                <w:i w:val="false"/>
                <w:caps w:val="false"/>
                <w:smallCaps w:val="false"/>
                <w:color w:val="000000"/>
                <w:sz w:val="20"/>
              </w:rPr>
              <w:t>.</w:t>
            </w:r>
          </w:p>
        </w:tc>
        <w:tc>
          <w:tcPr>
            <w:tcW w:w="8919" w:type="dxa"/>
            <w:tcBorders/>
            <w:shd w:fill="CCEEFF" w:val="clear"/>
            <w:vAlign w:val="center"/>
          </w:tcPr>
          <w:p>
            <w:pPr>
              <w:pStyle w:val="TableContents"/>
              <w:bidi w:val="0"/>
              <w:spacing w:lineRule="auto" w:line="259" w:before="0" w:after="283"/>
              <w:jc w:val="left"/>
              <w:rPr/>
            </w:pPr>
            <w:hyperlink w:anchor="Item_13_CertainRelationshipsAndRelated">
              <w:r>
                <w:rPr>
                  <w:rStyle w:val="InternetLink"/>
                  <w:rFonts w:ascii="Times New Roman;serif" w:hAnsi="Times New Roman;serif"/>
                  <w:b w:val="false"/>
                  <w:i w:val="false"/>
                  <w:caps w:val="false"/>
                  <w:smallCaps w:val="false"/>
                  <w:strike w:val="false"/>
                  <w:dstrike w:val="false"/>
                  <w:color w:val="0000FF"/>
                  <w:sz w:val="20"/>
                  <w:u w:val="single"/>
                  <w:effect w:val="none"/>
                </w:rPr>
                <w:t>CERTAIN RELATIONSHIPS AND RELATED TRANSACTIONS, AND DIRECTOR INDEPENDENCE</w:t>
              </w:r>
            </w:hyperlink>
          </w:p>
        </w:tc>
        <w:tc>
          <w:tcPr>
            <w:tcW w:w="36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uto" w:line="259" w:before="0" w:after="283"/>
              <w:jc w:val="left"/>
              <w:rPr/>
            </w:pPr>
            <w:hyperlink w:anchor="Item_14_PrincipalAccountantFeesAndServic">
              <w:r>
                <w:rPr>
                  <w:rStyle w:val="InternetLink"/>
                  <w:rFonts w:ascii="Times New Roman;serif" w:hAnsi="Times New Roman;serif"/>
                  <w:b w:val="false"/>
                  <w:i w:val="false"/>
                  <w:caps w:val="false"/>
                  <w:smallCaps w:val="false"/>
                  <w:strike w:val="false"/>
                  <w:dstrike w:val="false"/>
                  <w:color w:val="0000FF"/>
                  <w:sz w:val="20"/>
                  <w:u w:val="single"/>
                  <w:effect w:val="none"/>
                </w:rPr>
                <w:t>ITEM 14</w:t>
              </w:r>
            </w:hyperlink>
            <w:r>
              <w:rPr>
                <w:rFonts w:ascii="Times New Roman;serif" w:hAnsi="Times New Roman;serif"/>
                <w:b w:val="false"/>
                <w:i w:val="false"/>
                <w:caps w:val="false"/>
                <w:smallCaps w:val="false"/>
                <w:color w:val="000000"/>
                <w:sz w:val="20"/>
              </w:rPr>
              <w:t>.</w:t>
            </w:r>
          </w:p>
        </w:tc>
        <w:tc>
          <w:tcPr>
            <w:tcW w:w="8919" w:type="dxa"/>
            <w:tcBorders/>
            <w:vAlign w:val="center"/>
          </w:tcPr>
          <w:p>
            <w:pPr>
              <w:pStyle w:val="TableContents"/>
              <w:bidi w:val="0"/>
              <w:spacing w:lineRule="auto" w:line="259" w:before="0" w:after="283"/>
              <w:jc w:val="left"/>
              <w:rPr/>
            </w:pPr>
            <w:hyperlink w:anchor="Item_14_PrincipalAccountantFeesAndServic">
              <w:r>
                <w:rPr>
                  <w:rStyle w:val="InternetLink"/>
                  <w:rFonts w:ascii="Times New Roman;serif" w:hAnsi="Times New Roman;serif"/>
                  <w:b w:val="false"/>
                  <w:i w:val="false"/>
                  <w:caps w:val="false"/>
                  <w:smallCaps w:val="false"/>
                  <w:strike w:val="false"/>
                  <w:dstrike w:val="false"/>
                  <w:color w:val="0000FF"/>
                  <w:sz w:val="20"/>
                  <w:u w:val="single"/>
                  <w:effect w:val="none"/>
                </w:rPr>
                <w:t>PRINCIPAL ACCOUNTANT FEES AND SERVICES</w:t>
              </w:r>
            </w:hyperlink>
          </w:p>
        </w:tc>
        <w:tc>
          <w:tcPr>
            <w:tcW w:w="36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8919"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362" w:type="dxa"/>
            <w:tcBorders/>
            <w:shd w:fill="CCEEFF" w:val="clear"/>
            <w:vAlign w:val="center"/>
          </w:tcPr>
          <w:p>
            <w:pPr>
              <w:pStyle w:val="TableContents"/>
              <w:bidi w:val="0"/>
              <w:spacing w:before="0" w:after="283"/>
              <w:jc w:val="left"/>
              <w:rPr>
                <w:sz w:val="4"/>
                <w:szCs w:val="4"/>
              </w:rPr>
            </w:pPr>
            <w:r>
              <w:rPr>
                <w:sz w:val="4"/>
                <w:szCs w:val="4"/>
              </w:rPr>
            </w:r>
          </w:p>
        </w:tc>
      </w:tr>
      <w:tr>
        <w:trPr/>
        <w:tc>
          <w:tcPr>
            <w:tcW w:w="924"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PART IV</w:t>
            </w:r>
          </w:p>
        </w:tc>
        <w:tc>
          <w:tcPr>
            <w:tcW w:w="891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lineRule="auto" w:line="259" w:before="0" w:after="283"/>
              <w:jc w:val="left"/>
              <w:rPr/>
            </w:pPr>
            <w:hyperlink w:anchor="Item15_ExhibitsFinancialStatementSchedul">
              <w:r>
                <w:rPr>
                  <w:rStyle w:val="InternetLink"/>
                  <w:rFonts w:ascii="Times New Roman;serif" w:hAnsi="Times New Roman;serif"/>
                  <w:b w:val="false"/>
                  <w:i w:val="false"/>
                  <w:caps w:val="false"/>
                  <w:smallCaps w:val="false"/>
                  <w:strike w:val="false"/>
                  <w:dstrike w:val="false"/>
                  <w:color w:val="0000FF"/>
                  <w:sz w:val="20"/>
                  <w:u w:val="single"/>
                  <w:effect w:val="none"/>
                </w:rPr>
                <w:t>ITEM 15.</w:t>
              </w:r>
            </w:hyperlink>
          </w:p>
        </w:tc>
        <w:tc>
          <w:tcPr>
            <w:tcW w:w="8919" w:type="dxa"/>
            <w:tcBorders/>
            <w:shd w:fill="CCEEFF" w:val="clear"/>
            <w:vAlign w:val="center"/>
          </w:tcPr>
          <w:p>
            <w:pPr>
              <w:pStyle w:val="TableContents"/>
              <w:bidi w:val="0"/>
              <w:spacing w:lineRule="auto" w:line="259" w:before="0" w:after="283"/>
              <w:jc w:val="left"/>
              <w:rPr/>
            </w:pPr>
            <w:hyperlink w:anchor="Item15_ExhibitsFinancialStatementSchedul">
              <w:r>
                <w:rPr>
                  <w:rStyle w:val="InternetLink"/>
                  <w:rFonts w:ascii="Times New Roman;serif" w:hAnsi="Times New Roman;serif"/>
                  <w:b w:val="false"/>
                  <w:i w:val="false"/>
                  <w:caps w:val="false"/>
                  <w:smallCaps w:val="false"/>
                  <w:strike w:val="false"/>
                  <w:dstrike w:val="false"/>
                  <w:color w:val="0000FF"/>
                  <w:sz w:val="20"/>
                  <w:u w:val="single"/>
                  <w:effect w:val="none"/>
                </w:rPr>
                <w:t>EXHIBITS AND FINANCIAL STATEMENT SCHEDULES</w:t>
              </w:r>
            </w:hyperlink>
          </w:p>
        </w:tc>
        <w:tc>
          <w:tcPr>
            <w:tcW w:w="36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lineRule="auto" w:line="259" w:before="0" w:after="283"/>
              <w:jc w:val="left"/>
              <w:rPr/>
            </w:pPr>
            <w:hyperlink w:anchor="ITEM16_Form10KSummary">
              <w:r>
                <w:rPr>
                  <w:rStyle w:val="InternetLink"/>
                  <w:rFonts w:ascii="Times New Roman;serif" w:hAnsi="Times New Roman;serif"/>
                  <w:b w:val="false"/>
                  <w:i w:val="false"/>
                  <w:caps w:val="false"/>
                  <w:smallCaps w:val="false"/>
                  <w:strike w:val="false"/>
                  <w:dstrike w:val="false"/>
                  <w:color w:val="0000FF"/>
                  <w:sz w:val="20"/>
                  <w:u w:val="single"/>
                  <w:effect w:val="none"/>
                </w:rPr>
                <w:t>ITEM 16.</w:t>
              </w:r>
            </w:hyperlink>
          </w:p>
        </w:tc>
        <w:tc>
          <w:tcPr>
            <w:tcW w:w="8919" w:type="dxa"/>
            <w:tcBorders/>
            <w:vAlign w:val="center"/>
          </w:tcPr>
          <w:p>
            <w:pPr>
              <w:pStyle w:val="TableContents"/>
              <w:bidi w:val="0"/>
              <w:spacing w:lineRule="auto" w:line="259" w:before="0" w:after="283"/>
              <w:jc w:val="left"/>
              <w:rPr/>
            </w:pPr>
            <w:hyperlink w:anchor="ITEM16_Form10KSummary">
              <w:r>
                <w:rPr>
                  <w:rStyle w:val="InternetLink"/>
                  <w:rFonts w:ascii="Times New Roman;serif" w:hAnsi="Times New Roman;serif"/>
                  <w:b w:val="false"/>
                  <w:i w:val="false"/>
                  <w:caps w:val="false"/>
                  <w:smallCaps w:val="false"/>
                  <w:strike w:val="false"/>
                  <w:dstrike w:val="false"/>
                  <w:color w:val="0000FF"/>
                  <w:sz w:val="20"/>
                  <w:u w:val="single"/>
                  <w:effect w:val="none"/>
                </w:rPr>
                <w:t>FORM 10-K SUMMARY</w:t>
              </w:r>
            </w:hyperlink>
          </w:p>
        </w:tc>
        <w:tc>
          <w:tcPr>
            <w:tcW w:w="36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8919" w:type="dxa"/>
            <w:tcBorders/>
            <w:shd w:fill="CCEEFF" w:val="clear"/>
            <w:vAlign w:val="center"/>
          </w:tcPr>
          <w:p>
            <w:pPr>
              <w:pStyle w:val="TableContents"/>
              <w:bidi w:val="0"/>
              <w:spacing w:before="0" w:after="283"/>
              <w:jc w:val="left"/>
              <w:rPr>
                <w:sz w:val="4"/>
                <w:szCs w:val="4"/>
              </w:rPr>
            </w:pPr>
            <w:r>
              <w:rPr>
                <w:sz w:val="4"/>
                <w:szCs w:val="4"/>
              </w:rPr>
            </w:r>
          </w:p>
        </w:tc>
        <w:tc>
          <w:tcPr>
            <w:tcW w:w="362" w:type="dxa"/>
            <w:tcBorders/>
            <w:shd w:fill="CCEEFF" w:val="clear"/>
            <w:vAlign w:val="center"/>
          </w:tcPr>
          <w:p>
            <w:pPr>
              <w:pStyle w:val="TableContents"/>
              <w:bidi w:val="0"/>
              <w:spacing w:before="0" w:after="283"/>
              <w:jc w:val="left"/>
              <w:rPr>
                <w:sz w:val="4"/>
                <w:szCs w:val="4"/>
              </w:rPr>
            </w:pPr>
            <w:r>
              <w:rPr>
                <w:sz w:val="4"/>
                <w:szCs w:val="4"/>
              </w:rPr>
            </w:r>
          </w:p>
        </w:tc>
      </w:tr>
      <w:tr>
        <w:trPr/>
        <w:tc>
          <w:tcPr>
            <w:tcW w:w="9843" w:type="dxa"/>
            <w:gridSpan w:val="3"/>
            <w:tcBorders/>
            <w:vAlign w:val="center"/>
          </w:tcPr>
          <w:p>
            <w:pPr>
              <w:pStyle w:val="TableContents"/>
              <w:bidi w:val="0"/>
              <w:spacing w:lineRule="auto" w:line="259" w:before="0" w:after="283"/>
              <w:jc w:val="left"/>
              <w:rPr/>
            </w:pPr>
            <w:hyperlink w:anchor="Signatures">
              <w:r>
                <w:rPr>
                  <w:rStyle w:val="InternetLink"/>
                  <w:rFonts w:ascii="Times New Roman;serif" w:hAnsi="Times New Roman;serif"/>
                  <w:b w:val="false"/>
                  <w:i w:val="false"/>
                  <w:caps w:val="false"/>
                  <w:smallCaps w:val="false"/>
                  <w:strike w:val="false"/>
                  <w:dstrike w:val="false"/>
                  <w:color w:val="0000FF"/>
                  <w:sz w:val="20"/>
                  <w:u w:val="single"/>
                  <w:effect w:val="none"/>
                </w:rPr>
                <w:t>SIGNATURES</w:t>
              </w:r>
            </w:hyperlink>
          </w:p>
        </w:tc>
        <w:tc>
          <w:tcPr>
            <w:tcW w:w="36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w:t>
            </w:r>
          </w:p>
        </w:tc>
      </w:tr>
      <w:tr>
        <w:trPr/>
        <w:tc>
          <w:tcPr>
            <w:tcW w:w="9843" w:type="dxa"/>
            <w:gridSpan w:val="3"/>
            <w:tcBorders/>
            <w:shd w:fill="CCEEFF" w:val="clear"/>
            <w:vAlign w:val="center"/>
          </w:tcPr>
          <w:p>
            <w:pPr>
              <w:pStyle w:val="TableContents"/>
              <w:bidi w:val="0"/>
              <w:spacing w:before="0" w:after="283"/>
              <w:jc w:val="left"/>
              <w:rPr>
                <w:sz w:val="4"/>
                <w:szCs w:val="4"/>
              </w:rPr>
            </w:pPr>
            <w:r>
              <w:rPr>
                <w:sz w:val="4"/>
                <w:szCs w:val="4"/>
              </w:rPr>
            </w:r>
          </w:p>
        </w:tc>
        <w:tc>
          <w:tcPr>
            <w:tcW w:w="362" w:type="dxa"/>
            <w:tcBorders/>
            <w:shd w:fill="CCEEFF" w:val="clear"/>
            <w:vAlign w:val="center"/>
          </w:tcPr>
          <w:p>
            <w:pPr>
              <w:pStyle w:val="TableContents"/>
              <w:bidi w:val="0"/>
              <w:spacing w:before="0" w:after="283"/>
              <w:jc w:val="left"/>
              <w:rPr>
                <w:sz w:val="4"/>
                <w:szCs w:val="4"/>
              </w:rPr>
            </w:pPr>
            <w:r>
              <w:rPr>
                <w:sz w:val="4"/>
                <w:szCs w:val="4"/>
              </w:rPr>
            </w:r>
          </w:p>
        </w:tc>
      </w:tr>
      <w:tr>
        <w:trPr/>
        <w:tc>
          <w:tcPr>
            <w:tcW w:w="9843" w:type="dxa"/>
            <w:gridSpan w:val="3"/>
            <w:tcBorders/>
            <w:vAlign w:val="center"/>
          </w:tcPr>
          <w:p>
            <w:pPr>
              <w:pStyle w:val="TableContents"/>
              <w:bidi w:val="0"/>
              <w:spacing w:lineRule="auto" w:line="259" w:before="0" w:after="283"/>
              <w:jc w:val="left"/>
              <w:rPr/>
            </w:pPr>
            <w:hyperlink w:anchor="PowerOfAttorney">
              <w:r>
                <w:rPr>
                  <w:rStyle w:val="InternetLink"/>
                  <w:rFonts w:ascii="Times New Roman;serif" w:hAnsi="Times New Roman;serif"/>
                  <w:b w:val="false"/>
                  <w:i w:val="false"/>
                  <w:caps w:val="false"/>
                  <w:smallCaps w:val="false"/>
                  <w:strike w:val="false"/>
                  <w:dstrike w:val="false"/>
                  <w:color w:val="0000FF"/>
                  <w:sz w:val="20"/>
                  <w:u w:val="single"/>
                  <w:effect w:val="none"/>
                </w:rPr>
                <w:t>POWER OF ATTORNEY </w:t>
              </w:r>
            </w:hyperlink>
          </w:p>
        </w:tc>
        <w:tc>
          <w:tcPr>
            <w:tcW w:w="36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w:t>
            </w:r>
          </w:p>
        </w:tc>
      </w:tr>
    </w:tbl>
    <w:p>
      <w:pPr>
        <w:pStyle w:val="TextBody"/>
        <w:bidi w:val="0"/>
        <w:spacing w:lineRule="auto" w:line="259"/>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w:t>
      </w:r>
    </w:p>
    <w:p>
      <w:pPr>
        <w:pStyle w:val="TextBody"/>
        <w:bidi w:val="0"/>
        <w:spacing w:lineRule="auto" w:line="259"/>
        <w:rPr>
          <w:rFonts w:ascii="Times New Roman;serif" w:hAnsi="Times New Roman;serif"/>
          <w:b/>
          <w:i w:val="false"/>
          <w:caps w:val="false"/>
          <w:smallCaps w:val="false"/>
          <w:sz w:val="20"/>
        </w:rPr>
      </w:pPr>
      <w:bookmarkStart w:id="5" w:name="Item_1_Business"/>
      <w:bookmarkEnd w:id="5"/>
      <w:r>
        <w:rPr>
          <w:rFonts w:ascii="Times New Roman;serif" w:hAnsi="Times New Roman;serif"/>
          <w:b/>
          <w:i w:val="false"/>
          <w:caps w:val="false"/>
          <w:smallCaps w:val="false"/>
          <w:sz w:val="20"/>
        </w:rPr>
        <w:t>ITEM 1. BUSINESS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Overview</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Tile Shop, LLC (“The Tile Shop”) was founded in 1985 and Tile Shop Holdings, Inc. (“Holdings,” and together with its wholly owned subsidiaries, including The Tile Shop, the “Company” or “we”) was incorporated in Delaware in June 2012. We are a specialty retailer of </w:t>
      </w:r>
      <w:r>
        <w:rPr>
          <w:rFonts w:ascii="Times New Roman;serif" w:hAnsi="Times New Roman;serif"/>
          <w:b w:val="false"/>
          <w:i w:val="false"/>
          <w:caps w:val="false"/>
          <w:smallCaps w:val="false"/>
          <w:color w:val="000000"/>
          <w:sz w:val="20"/>
        </w:rPr>
        <w:t>man-made and natural stone tiles, luxury vinyl tiles, setting and maintenance materials, and related accessories in the United States.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Our assortment includes over 6,000 products from around the world. Natural stone products include marble, travertine, granite, quartz, sandstone, slate, and onyx tiles. Man-made products include ceramic, porcelain, glass, cement, wood look, metal and luxury vinyl tile. The majority of our tile products are sold under our proprietary Rush River and Fired Earth brand names. We purchase our tile products, accessories and tools directly from our global network of suppliers. We manufacture our own setting and maintenance materials, such as thinset, grout and sealer, under our Superior brand name, as well as work with other suppliers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to manufacture private label products. As of December 31, 2025, we operated 140 stores in 31 states and the District of Columbia, with an average size of approximately 20,000 square feet.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believe that our long-term vendor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believe that we are a leading retailer of man-made and natural stone tiles, </w:t>
      </w:r>
      <w:r>
        <w:rPr>
          <w:rFonts w:ascii="Times New Roman;serif" w:hAnsi="Times New Roman;serif"/>
          <w:b w:val="false"/>
          <w:i w:val="false"/>
          <w:caps w:val="false"/>
          <w:smallCaps w:val="false"/>
          <w:color w:val="000000"/>
          <w:sz w:val="20"/>
        </w:rPr>
        <w:t>luxury vinyl</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tiles, setting and maintenance materials, and related accessories in the United States.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net sales and loss from operations were $336.8 million and $5.8 million, respectively, for the year ended December 31, 2025. As of December 31, 2024 and 2023, net sales were $347.1 million and $377.1 million, respectively, and our income from operations were $3.5 million and $16.2 million, respectively. As of December 31, 2025 and 2024, we had total assets of $301.7 million and $319.6 million, respectively.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December 3, 2025, the Company held a special meeting of its stockholders (the “Special Meeting”). At the Special Meeting the holders of the Company’s issued and outstanding shares of the Company’s common stock, par value $0.0001 per share (the “common stock”), entitled to vote approved, by a majority of the votes cast at the Special Meeting, an amendment to the Company’s certificate of incorporation, as amended (the “Certificate of Incorporation”) to effect a reverse stock split of the common stock, a ratio not less than 1-for-2,000 and not greater than 1-for-4,000 (the “Reverse Stock Split”), followed immediately by a forward stock split of the common stock at the same ratio, but inverse (the “Forward Stock Split,” and together with the Reverse Stock Split, the “Stock Splits”). The Company’s Board of Directors (the “Board” or “Board of Directors”)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determined to effectuate (i) the Reverse Stock Split at a ratio of 1-for-3,000 and (ii) the Forward Stock Split at a ratio of 3,000-for-1 (collectively, the “Stock Split Ratios). At the direction of the Board, on December 15, 2025, the Company filed the certificates of amendment to the Certificate of Incorporation with the Secretary of State of the State of Delaware to effect the Reverse Stock Split at 5:01 p.m., followed immediately by the Forward Stock Split at 5:02 p.m., respectively, on that day.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 result of the Reverse Stock Split, each share of common stock held by a stockholder of record owning immediately prior to the effective time fewer than the minimum number of shares, which, based on the Stock Split ratio chosen by the Board is 3,000 shares (the “Minimum Number”), was converted into the right to receive $6.60 in cash, without interest (the “Cash Payment”), per whole share and such stockholders are no longer stockholders of the Company. Stockholders owning a number of shares of common stock equal to or greater than the Minimum Number immediately prior to the effective time of the Reverse Stock Split (the “Continuing Stockholders”) were not entitled to receive any cash for their fractional share interests resulting from the Reverse Stock Split, if any. The Forward Stock Split, which immediately followed the Reverse Stock Split, reconverted whole shares and fractional share interests held by the Continuing Stockholders back into the same number of shares of the common stock held by such Continuing Stockholders immediately prior to the effective time. As a result of the Forward Stock Split, the total number of shares of common stock held by a Continuing Stockholder did not change as a result of the Reverse Stock Split. Following the completion of the Reverse Stock Split, the Company paid an aggregate of approximately $32.2 million to stockholders of record owning fewer than 3,000 shares of common stock immediately prior to the effective time of the Reverse Stock Split (the “Cashed-Out Stockholders”), including stockholders who held fewer than 3,000 shares of common stock through banks and brokers.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Reverse Stock Split reduced the number of record holders of the Company’s common stock to a number below 300 (i.e., the level at or above which the Company was required to file reports with the Securities and Exchange Commission (the “SEC”)</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under the Securities Exchange Act of 1934, as amended (the “Exchange Act”)). The actions the Company took to suspend, and the events that occurred as a result of such actions that had the effect of suspending, the Company’s reporting obligations under the Exchange Act, including effectuating the Stock Splits, delisting the Company’s common stock from trading on The Nasdaq Stock Market LLC (“Nasdaq”), terminating the registration of the Company’s common stock under Sections 12(b) and 12(g) of the Exchange Act and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suspending the Company’s reporting obligations under Section 15(d) of the Exchange Act, are collectively referred to as the “Transaction.” The Stock Splits were undertaken as part of the Company’s plan to give effect to the Transaction.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result of the Transaction, the Company is no longer subject to the reporting requirements under the Exchange Act or other requirements applicable to a public company, including requirements under the Sarbanes-Oxley Act of 2002 and the listing standards of any national securities exchange. Following the filing of this Annual Report on Form 10-K for the year ended December 31, 2025, therefore, the Company will cease to file annual, quarterly, current, and other reports and documents with the SEC.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Competitive Strengths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that the following factors differentiate us from our competitors.</w:t>
      </w:r>
    </w:p>
    <w:p>
      <w:pPr>
        <w:pStyle w:val="TextBody"/>
        <w:bidi w:val="0"/>
        <w:spacing w:lineRule="auto" w:line="259"/>
        <w:rPr>
          <w:rFonts w:ascii="Times New Roman;serif" w:hAnsi="Times New Roman;serif"/>
          <w:sz w:val="20"/>
        </w:rPr>
      </w:pPr>
      <w:r>
        <w:rPr>
          <w:rFonts w:ascii="Times New Roman;serif" w:hAnsi="Times New Roman;serif"/>
          <w:b w:val="false"/>
          <w:i/>
          <w:sz w:val="20"/>
        </w:rPr>
        <w:t xml:space="preserve">Broad Product Assortment at Attractive Prices – </w:t>
      </w:r>
      <w:r>
        <w:rPr>
          <w:rFonts w:ascii="Times New Roman;serif" w:hAnsi="Times New Roman;serif"/>
          <w:b w:val="false"/>
          <w:i w:val="false"/>
          <w:caps w:val="false"/>
          <w:smallCaps w:val="false"/>
          <w:sz w:val="20"/>
        </w:rPr>
        <w:t>We offer over 6,000 natural stone, man-made and luxury vinyl tile products, setting and maintenance materials, accessories, and tools. We are able to maintain competitive prices by purchasing tile and accessories directly from producers and manufacturing our own setting and maintenance materials.</w:t>
      </w:r>
    </w:p>
    <w:p>
      <w:pPr>
        <w:pStyle w:val="TextBody"/>
        <w:bidi w:val="0"/>
        <w:spacing w:lineRule="auto" w:line="259"/>
        <w:rPr>
          <w:rFonts w:ascii="Times New Roman;serif" w:hAnsi="Times New Roman;serif"/>
          <w:sz w:val="20"/>
        </w:rPr>
      </w:pPr>
      <w:r>
        <w:rPr>
          <w:rFonts w:ascii="Times New Roman;serif" w:hAnsi="Times New Roman;serif"/>
          <w:b w:val="false"/>
          <w:i/>
          <w:sz w:val="20"/>
        </w:rPr>
        <w:t xml:space="preserve">Customer Service and Satisfaction – </w:t>
      </w:r>
      <w:r>
        <w:rPr>
          <w:rFonts w:ascii="Times New Roman;serif" w:hAnsi="Times New Roman;serif"/>
          <w:b w:val="false"/>
          <w:i w:val="false"/>
          <w:caps w:val="false"/>
          <w:smallCaps w:val="false"/>
          <w:sz w:val="20"/>
        </w:rPr>
        <w:t>Our sales personnel are highly-trained and knowledgeable about the technical and design aspects of our products. In addition, we provide one-on-one installation training as required to meet customer needs. We accept returns up to two months following the date of the sale, with no restocking fees.</w:t>
      </w:r>
    </w:p>
    <w:p>
      <w:pPr>
        <w:pStyle w:val="TextBody"/>
        <w:bidi w:val="0"/>
        <w:spacing w:lineRule="auto" w:line="259"/>
        <w:rPr>
          <w:rFonts w:ascii="Times New Roman;serif" w:hAnsi="Times New Roman;serif"/>
          <w:sz w:val="20"/>
        </w:rPr>
      </w:pPr>
      <w:r>
        <w:rPr>
          <w:rFonts w:ascii="Times New Roman;serif" w:hAnsi="Times New Roman;serif"/>
          <w:b w:val="false"/>
          <w:i/>
          <w:sz w:val="20"/>
        </w:rPr>
        <w:t xml:space="preserve">Inspiring Customer Experience – </w:t>
      </w:r>
      <w:r>
        <w:rPr>
          <w:rFonts w:ascii="Times New Roman;serif" w:hAnsi="Times New Roman;serif"/>
          <w:b w:val="false"/>
          <w:i w:val="false"/>
          <w:caps w:val="false"/>
          <w:smallCaps w:val="false"/>
          <w:sz w:val="20"/>
        </w:rPr>
        <w:t>In each store, our products are brought to life by showcasing a broad array of the items we offer in up to 50 different vignettes of bathrooms, kitchens, fireplaces, foyers, and other distinct spaces. Our stores are spacious, well-lit, and organized by product type to simplify our customers’ shopping experience.</w:t>
      </w:r>
    </w:p>
    <w:p>
      <w:pPr>
        <w:pStyle w:val="TextBody"/>
        <w:bidi w:val="0"/>
        <w:spacing w:lineRule="auto" w:line="259"/>
        <w:rPr>
          <w:rFonts w:ascii="Times New Roman;serif" w:hAnsi="Times New Roman;serif"/>
          <w:sz w:val="20"/>
        </w:rPr>
      </w:pPr>
      <w:r>
        <w:rPr>
          <w:rFonts w:ascii="Times New Roman;serif" w:hAnsi="Times New Roman;serif"/>
          <w:b w:val="false"/>
          <w:i/>
          <w:sz w:val="20"/>
        </w:rPr>
        <w:t xml:space="preserve">Global Sourcing Capabilities – </w:t>
      </w:r>
      <w:r>
        <w:rPr>
          <w:rFonts w:ascii="Times New Roman;serif" w:hAnsi="Times New Roman;serif"/>
          <w:b w:val="false"/>
          <w:i w:val="false"/>
          <w:caps w:val="false"/>
          <w:smallCaps w:val="false"/>
          <w:sz w:val="20"/>
        </w:rPr>
        <w:t>We have long-standing relationships with our tile suppliers throughout the world and work with them to design products exclusively for us. We believe that these direct relationships differentiate us from our competitors.</w:t>
      </w:r>
    </w:p>
    <w:p>
      <w:pPr>
        <w:pStyle w:val="TextBody"/>
        <w:bidi w:val="0"/>
        <w:spacing w:lineRule="auto" w:line="259"/>
        <w:rPr>
          <w:rFonts w:ascii="Times New Roman;serif" w:hAnsi="Times New Roman;serif"/>
          <w:sz w:val="20"/>
        </w:rPr>
      </w:pPr>
      <w:r>
        <w:rPr>
          <w:rFonts w:ascii="Times New Roman;serif" w:hAnsi="Times New Roman;serif"/>
          <w:b w:val="false"/>
          <w:i/>
          <w:sz w:val="20"/>
        </w:rPr>
        <w:t xml:space="preserve">Proprietary Branding – </w:t>
      </w:r>
      <w:r>
        <w:rPr>
          <w:rFonts w:ascii="Times New Roman;serif" w:hAnsi="Times New Roman;serif"/>
          <w:b w:val="false"/>
          <w:i w:val="false"/>
          <w:caps w:val="false"/>
          <w:smallCaps w:val="false"/>
          <w:sz w:val="20"/>
        </w:rPr>
        <w:t>We sell the majority of our products under our proprietary brand names, which helps us to differentiate our products from those of our competitors. We offer products across a range of price points and quality levels, which allows us to target discrete market segments and to appeal to diverse groups of customers.</w:t>
      </w:r>
    </w:p>
    <w:p>
      <w:pPr>
        <w:pStyle w:val="TextBody"/>
        <w:bidi w:val="0"/>
        <w:spacing w:lineRule="auto" w:line="259"/>
        <w:rPr>
          <w:rFonts w:ascii="Times New Roman;serif" w:hAnsi="Times New Roman;serif"/>
          <w:sz w:val="20"/>
        </w:rPr>
      </w:pPr>
      <w:r>
        <w:rPr>
          <w:rFonts w:ascii="Times New Roman;serif" w:hAnsi="Times New Roman;serif"/>
          <w:b w:val="false"/>
          <w:i/>
          <w:sz w:val="20"/>
        </w:rPr>
        <w:t xml:space="preserve">Centralized Distribution System – </w:t>
      </w:r>
      <w:r>
        <w:rPr>
          <w:rFonts w:ascii="Times New Roman;serif" w:hAnsi="Times New Roman;serif"/>
          <w:b w:val="false"/>
          <w:i w:val="false"/>
          <w:caps w:val="false"/>
          <w:smallCaps w:val="false"/>
          <w:sz w:val="20"/>
        </w:rPr>
        <w:t>We service our store locations from three distribution centers. Our distribution centers, located in Michigan, Oklahoma, and Virginia, are located to cost effectively service our existing stores.</w:t>
      </w:r>
    </w:p>
    <w:p>
      <w:pPr>
        <w:pStyle w:val="TextBody"/>
        <w:bidi w:val="0"/>
        <w:spacing w:lineRule="auto" w:line="259"/>
        <w:rPr>
          <w:rFonts w:ascii="Times New Roman;serif" w:hAnsi="Times New Roman;serif"/>
          <w:b/>
          <w:i w:val="false"/>
          <w:caps w:val="false"/>
          <w:smallCaps w:val="false"/>
          <w:sz w:val="20"/>
        </w:rPr>
      </w:pPr>
      <w:bookmarkStart w:id="6" w:name="_Hlk156121228"/>
      <w:bookmarkEnd w:id="6"/>
      <w:r>
        <w:rPr>
          <w:rFonts w:ascii="Times New Roman;serif" w:hAnsi="Times New Roman;serif"/>
          <w:b/>
          <w:i w:val="false"/>
          <w:caps w:val="false"/>
          <w:smallCaps w:val="false"/>
          <w:sz w:val="20"/>
        </w:rPr>
        <w:t xml:space="preserve">Strategic Plan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We are committed to carrying an outstanding assortment, offering unsurpassed customer service, and showcasing excellence within our industry. These principles have always been core to our strategy and will continue to be as we move into 2026.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Key elements of our 2026 strategy include:</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People First – </w:t>
      </w:r>
      <w:r>
        <w:rPr>
          <w:rFonts w:ascii="Times New Roman;serif" w:hAnsi="Times New Roman;serif"/>
          <w:b w:val="false"/>
          <w:i w:val="false"/>
          <w:caps w:val="false"/>
          <w:smallCaps w:val="false"/>
          <w:color w:val="000000"/>
          <w:sz w:val="20"/>
        </w:rPr>
        <w:t>We pride ourselves on offering the best service in our industry, and our employees are the key to our success. We are committed to continuing to invest in training and development programs to enhance the skill sets of all employees. We are also continuing to take steps to improve engagement, communication and collaboration across our teams.</w:t>
      </w:r>
      <w:r>
        <w:rPr>
          <w:rFonts w:ascii="Times New Roman;serif" w:hAnsi="Times New Roman;serif"/>
          <w:color w:val="000000"/>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Focused Retail Execution </w:t>
      </w:r>
      <w:r>
        <w:rPr>
          <w:rFonts w:ascii="Times New Roman;serif" w:hAnsi="Times New Roman;serif"/>
          <w:color w:val="000000"/>
          <w:sz w:val="20"/>
        </w:rPr>
        <w:t xml:space="preserve">– </w:t>
      </w:r>
      <w:r>
        <w:rPr>
          <w:rFonts w:ascii="Times New Roman;serif" w:hAnsi="Times New Roman;serif"/>
          <w:b w:val="false"/>
          <w:i w:val="false"/>
          <w:caps w:val="false"/>
          <w:smallCaps w:val="false"/>
          <w:color w:val="000000"/>
          <w:sz w:val="20"/>
        </w:rPr>
        <w:t xml:space="preserve">We believe profitable growth is tied to our ability to leverage best practices and technology to improve productivity in each of our store locations. We have defined critical success measures, tactics to drive improvement in each area of focus, and reporting processes to monitor progress. </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Supply Chain – </w:t>
      </w:r>
      <w:r>
        <w:rPr>
          <w:rFonts w:ascii="Times New Roman;serif" w:hAnsi="Times New Roman;serif"/>
          <w:b w:val="false"/>
          <w:i w:val="false"/>
          <w:caps w:val="false"/>
          <w:smallCaps w:val="false"/>
          <w:color w:val="000000"/>
          <w:sz w:val="20"/>
        </w:rPr>
        <w:t>We strive to increase efficiencies within our distribution channels and transparency of product availability throughout our distribution center and store locations. This enhances our ability to provide the best service in our industry and deliver products our customers desire wherever they may need them.</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Assortment Management – </w:t>
      </w:r>
      <w:r>
        <w:rPr>
          <w:rFonts w:ascii="Times New Roman;serif" w:hAnsi="Times New Roman;serif"/>
          <w:b w:val="false"/>
          <w:i w:val="false"/>
          <w:caps w:val="false"/>
          <w:smallCaps w:val="false"/>
          <w:color w:val="000000"/>
          <w:sz w:val="20"/>
        </w:rPr>
        <w:t>We curate an industry leading assortment, which is a foundational aspect of our strategy. Our assortment includes good, better, and best options for our customers within each of the product categories we carry in our stores and online. We continue to focus on maintaining an assortment that differentiates our brand.</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Sales Model</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principally sell our products directly to homeowners and professionals. With regard to individual customers, we believe that, due to the average cost and relative infrequency of a tile purchase, many of our individual customers conduct extensive research using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multiple channels before making a purchase decision. Our sales strategy emphasizes customer service by providing comprehensive and convenient educational tools on our website and in our stores for our customers to learn about our products and the tile installation process. Our website contains a broad range of information regarding our tile products, setting and maintenance materials, and accessories. Customers can order samples, view catalogs, or purchase products from our stores or online. Customers can choose to have their purchases delivered or picked up at one of our stores. We believe this strategy also positions us well with professional customers who are influenced by the preferences of individual homeowners.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stores are designed to emphasize our products in a visually appealing showroom format. Our average store is approximately 20,000 square feet, with a majority of the square footage devoted to the showroom. Several thousand square feet is used for warehouse space, which is used primarily to hold customer orders waiting to be picked up or delivered. Our stores are typically accessible from major roadways and have significant visibility to passing traffic. We can adapt to a range of existing buildings, whether free-standing or in shopping centers. All of our stores are leased.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staffing model for a typical store consists of a manager, an assistant manager, sales associates, and a warehouse leader. Our store managers are responsible for store operations and for overseeing our customers’ shopping experience.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website, TileShop.com, supplements our store experience and is designed for consumers to learn about our brand, our value propositions, and our product assortment, installation techniques and additional customer room gallery design inspiration. Our website also gives our customers the ability to complete a purchase online.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Marketing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utilize a variety of marketing strategies and programs to acquire and retain customers, including both consumers and trade professionals. Our advertising primarily consists of digital media, direct marketing, including email and postal mail, in store events, and mobile advertisements. We continually test and learn from new media and adjust our programs based on performance.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website, TileShop.com, supports desktop, tablet, and mobile devices and is designed for consumers, trade professionals and industry stakeholders to learn about our brand, our value propositions, and our product assortment and installation techniques, and to look up our store locations and account information. On social media, #TheTileShop provides current and prospective customers a high level of brand engagement and enables customers to share their finished projects in our inspiration gallery.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Products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offer an extensive and complete assortment of natural stone, man-made and luxury vinyl tile products, sourced directly from our suppliers.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Natural stone products include marble, travertine, granite, quartz, sandstone, slate, and onyx tiles. Man-made products include ceramic, porcelain, glass, cement, wood look, metal and luxury vinyl tile. Our wide assortment of accessories, including trim pieces, mosaics, pencils, listellos, and other unique products, encourages our customers to make a fashion statement with their tile project and helps us to deliver a high level of customer satisfaction and drive repeat business. We also offer a broad range of setting and maintenance materials, such as thinset, grout, sealers, and accessories, including installation tools, shower and bath shelves, drains, and similar products. We also offer customers delivery service through third-party freight providers. We sell most of our products under our proprietary brand names, including Superior Adhesives &amp; Chemicals, Superior Tools &amp; Supplies, Rush River, and Fired Earth. In total, we offer over 6,000 different tile products, setting and maintenance materials, and accessory products. The percentage of our net sales represented by each product category was as follows for the years ended December 31, 2025 and 2024:</w:t>
      </w:r>
    </w:p>
    <w:tbl>
      <w:tblPr>
        <w:tblW w:w="5345" w:type="dxa"/>
        <w:jc w:val="left"/>
        <w:tblInd w:w="0" w:type="dxa"/>
        <w:tblLayout w:type="fixed"/>
        <w:tblCellMar>
          <w:top w:w="0" w:type="dxa"/>
          <w:left w:w="0" w:type="dxa"/>
          <w:bottom w:w="0" w:type="dxa"/>
          <w:right w:w="0" w:type="dxa"/>
        </w:tblCellMar>
      </w:tblPr>
      <w:tblGrid>
        <w:gridCol w:w="2911"/>
        <w:gridCol w:w="109"/>
        <w:gridCol w:w="735"/>
        <w:gridCol w:w="333"/>
        <w:gridCol w:w="134"/>
        <w:gridCol w:w="735"/>
        <w:gridCol w:w="388"/>
      </w:tblGrid>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5" w:type="dxa"/>
            <w:gridSpan w:val="5"/>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Years Ended December 31,</w:t>
            </w:r>
          </w:p>
        </w:tc>
      </w:tr>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33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38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Man-made tiles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tc>
        <w:tc>
          <w:tcPr>
            <w:tcW w:w="33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tc>
        <w:tc>
          <w:tcPr>
            <w:tcW w:w="38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Natural stone tiles</w:t>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c>
          <w:tcPr>
            <w:tcW w:w="388"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Setting and maintenance materials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tc>
        <w:tc>
          <w:tcPr>
            <w:tcW w:w="388" w:type="dxa"/>
            <w:tcBorders/>
            <w:shd w:fill="CCEEFF" w:val="cle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Accessories</w:t>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c>
          <w:tcPr>
            <w:tcW w:w="388"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Delivery service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tc>
        <w:tc>
          <w:tcPr>
            <w:tcW w:w="33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tc>
        <w:tc>
          <w:tcPr>
            <w:tcW w:w="38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Suppliers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long-standing relationships with our suppliers throughout the world and work with them to design and manufacture products exclusively for us. We believe that these direct relationships differentiate us from our competitors. </w:t>
      </w:r>
    </w:p>
    <w:p>
      <w:pPr>
        <w:pStyle w:val="TextBody"/>
        <w:bidi w:val="0"/>
        <w:spacing w:lineRule="auto" w:line="259"/>
        <w:rPr>
          <w:rFonts w:ascii="Times New Roman;serif" w:hAnsi="Times New Roman;serif"/>
          <w:b w:val="false"/>
          <w:i w:val="false"/>
          <w:caps w:val="false"/>
          <w:smallCaps w:val="false"/>
          <w:sz w:val="20"/>
        </w:rPr>
      </w:pPr>
      <w:bookmarkStart w:id="7" w:name="_Hlk124495016"/>
      <w:bookmarkEnd w:id="7"/>
      <w:r>
        <w:rPr>
          <w:rFonts w:ascii="Times New Roman;serif" w:hAnsi="Times New Roman;serif"/>
          <w:b w:val="false"/>
          <w:i w:val="false"/>
          <w:caps w:val="false"/>
          <w:smallCaps w:val="false"/>
          <w:sz w:val="20"/>
        </w:rPr>
        <w:t xml:space="preserve">We currently purchase tile products from approximately 200 different suppliers. Our top ten tile suppliers accounted for 43.3% of our purchases in 2025. Our largest supplier accounted for approximately 12.7% of our total purchases in 2025. We believe that alternative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competitive suppliers are available for many of our products. The percentage of our total purchases from the following continents was as follows for the years ended December 31, 2025 and 2024: </w:t>
      </w:r>
    </w:p>
    <w:tbl>
      <w:tblPr>
        <w:tblW w:w="3755" w:type="dxa"/>
        <w:jc w:val="left"/>
        <w:tblInd w:w="0" w:type="dxa"/>
        <w:tblLayout w:type="fixed"/>
        <w:tblCellMar>
          <w:top w:w="0" w:type="dxa"/>
          <w:left w:w="0" w:type="dxa"/>
          <w:bottom w:w="0" w:type="dxa"/>
          <w:right w:w="0" w:type="dxa"/>
        </w:tblCellMar>
      </w:tblPr>
      <w:tblGrid>
        <w:gridCol w:w="1321"/>
        <w:gridCol w:w="109"/>
        <w:gridCol w:w="735"/>
        <w:gridCol w:w="333"/>
        <w:gridCol w:w="134"/>
        <w:gridCol w:w="735"/>
        <w:gridCol w:w="388"/>
      </w:tblGrid>
      <w:tr>
        <w:trPr/>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5" w:type="dxa"/>
            <w:gridSpan w:val="5"/>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Years Ended December 31,</w:t>
            </w:r>
          </w:p>
        </w:tc>
      </w:tr>
      <w:tr>
        <w:trPr/>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33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38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3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North America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tc>
        <w:tc>
          <w:tcPr>
            <w:tcW w:w="33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c>
          <w:tcPr>
            <w:tcW w:w="38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3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Europe </w:t>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c>
          <w:tcPr>
            <w:tcW w:w="388"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tc>
        <w:tc>
          <w:tcPr>
            <w:tcW w:w="388" w:type="dxa"/>
            <w:tcBorders/>
            <w:shd w:fill="CCEEFF" w:val="clear"/>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South America</w:t>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c>
          <w:tcPr>
            <w:tcW w:w="388"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Africa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tc>
        <w:tc>
          <w:tcPr>
            <w:tcW w:w="33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tc>
        <w:tc>
          <w:tcPr>
            <w:tcW w:w="38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33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38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inventory balance increased by $3.1 million from $86.3 million to $89.4 million as of December 31, 2024 and December 31, 2025, respectively. The increase in inventory is due to an increase in the costs of products acquired over the last year, which was due in part to an increase in tariffs paid on tile products acquired outside of the United States, as well as the addition of several new product lines over the course of the last year.</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Distribution and Order Fulfillment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take possession of our products in the country of origin and arrange for transportation to our three distribution centers located in Michigan, Oklahoma, and Virginia. We also manufacture many of our setting and maintenance materials in our distribution centers. We maintain a large inventory of products in order to quickly fulfill customer orders.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fulfill customer orders primarily by shipping our products to our stores where customers can either pick them up or arrange for home delivery. We continue to evaluate logistics alternatives to best serve our store base and our customers.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Competition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retail tile market is highly-fragmented. We compete directly with regional and local specialty retailers of tile, factory-direct stores, a large number of privately-owned, single-site stores, and online-only competitors. In addition, we compete with large national home improvement centers that offer a wide range of home improvement products, including flooring. We also compete indirectly with companies that sell other types of floor coverings, including wood floors, carpet, and vinyl. The barriers of entry into the retail tile industry are relatively low and new or existing tile retailers could enter our markets and increase the competition that we face. Many of our competitors enjoy competitive advantages over us, such as greater name recognition, longer operating histories, more varied product offerings, and greater financial, technical, and other resources.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that the key competitive factors in the retail tile industry include:</w:t>
      </w:r>
    </w:p>
    <w:p>
      <w:pPr>
        <w:pStyle w:val="TextBody"/>
        <w:bidi w:val="0"/>
        <w:spacing w:lineRule="auto" w:line="254"/>
        <w:ind w:left="720" w:right="0" w:hanging="360"/>
        <w:rPr/>
      </w:pPr>
      <w:r>
        <w:rPr>
          <w:caps w:val="false"/>
          <w:smallCaps w:val="false"/>
        </w:rPr>
        <w:t></w:t>
      </w:r>
      <w:r>
        <w:rPr>
          <w:rFonts w:ascii="Times New Roman;serif" w:hAnsi="Times New Roman;serif"/>
          <w:b w:val="false"/>
          <w:i w:val="false"/>
          <w:caps w:val="false"/>
          <w:smallCaps w:val="false"/>
          <w:sz w:val="20"/>
        </w:rPr>
        <w:t>product assortment;</w:t>
      </w:r>
    </w:p>
    <w:p>
      <w:pPr>
        <w:pStyle w:val="TextBody"/>
        <w:bidi w:val="0"/>
        <w:spacing w:lineRule="auto" w:line="254"/>
        <w:ind w:left="720" w:right="0" w:hanging="360"/>
        <w:rPr/>
      </w:pPr>
      <w:r>
        <w:rPr>
          <w:caps w:val="false"/>
          <w:smallCaps w:val="false"/>
        </w:rPr>
        <w:t></w:t>
      </w:r>
      <w:r>
        <w:rPr>
          <w:rFonts w:ascii="Times New Roman;serif" w:hAnsi="Times New Roman;serif"/>
          <w:b w:val="false"/>
          <w:i w:val="false"/>
          <w:caps w:val="false"/>
          <w:smallCaps w:val="false"/>
          <w:sz w:val="20"/>
        </w:rPr>
        <w:t>product presentation; </w:t>
      </w:r>
    </w:p>
    <w:p>
      <w:pPr>
        <w:pStyle w:val="TextBody"/>
        <w:bidi w:val="0"/>
        <w:spacing w:lineRule="auto" w:line="254"/>
        <w:ind w:left="720" w:right="0" w:hanging="360"/>
        <w:rPr/>
      </w:pPr>
      <w:r>
        <w:rPr>
          <w:caps w:val="false"/>
          <w:smallCaps w:val="false"/>
        </w:rPr>
        <w:t></w:t>
      </w:r>
      <w:r>
        <w:rPr>
          <w:rFonts w:ascii="Times New Roman;serif" w:hAnsi="Times New Roman;serif"/>
          <w:b w:val="false"/>
          <w:i w:val="false"/>
          <w:caps w:val="false"/>
          <w:smallCaps w:val="false"/>
          <w:sz w:val="20"/>
        </w:rPr>
        <w:t>customer service;</w:t>
      </w:r>
    </w:p>
    <w:p>
      <w:pPr>
        <w:pStyle w:val="TextBody"/>
        <w:bidi w:val="0"/>
        <w:spacing w:lineRule="auto" w:line="254"/>
        <w:ind w:left="720" w:right="0" w:hanging="360"/>
        <w:rPr/>
      </w:pPr>
      <w:r>
        <w:rPr>
          <w:caps w:val="false"/>
          <w:smallCaps w:val="false"/>
        </w:rPr>
        <w:t></w:t>
      </w:r>
      <w:r>
        <w:rPr>
          <w:rFonts w:ascii="Times New Roman;serif" w:hAnsi="Times New Roman;serif"/>
          <w:b w:val="false"/>
          <w:i w:val="false"/>
          <w:caps w:val="false"/>
          <w:smallCaps w:val="false"/>
          <w:sz w:val="20"/>
        </w:rPr>
        <w:t>store location;</w:t>
      </w:r>
    </w:p>
    <w:p>
      <w:pPr>
        <w:pStyle w:val="TextBody"/>
        <w:bidi w:val="0"/>
        <w:spacing w:lineRule="auto" w:line="254"/>
        <w:ind w:left="720" w:right="0" w:hanging="360"/>
        <w:rPr/>
      </w:pPr>
      <w:r>
        <w:rPr>
          <w:caps w:val="false"/>
          <w:smallCaps w:val="false"/>
        </w:rPr>
        <w:t></w:t>
      </w:r>
      <w:r>
        <w:rPr>
          <w:rFonts w:ascii="Times New Roman;serif" w:hAnsi="Times New Roman;serif"/>
          <w:b w:val="false"/>
          <w:i w:val="false"/>
          <w:caps w:val="false"/>
          <w:smallCaps w:val="false"/>
          <w:sz w:val="20"/>
        </w:rPr>
        <w:t>availability of inventory; and</w:t>
      </w:r>
    </w:p>
    <w:p>
      <w:pPr>
        <w:pStyle w:val="TextBody"/>
        <w:bidi w:val="0"/>
        <w:spacing w:lineRule="auto" w:line="254" w:before="0" w:after="160"/>
        <w:ind w:left="720" w:right="0" w:hanging="360"/>
        <w:rPr/>
      </w:pPr>
      <w:r>
        <w:rPr>
          <w:caps w:val="false"/>
          <w:smallCaps w:val="false"/>
        </w:rPr>
        <w:t></w:t>
      </w:r>
      <w:r>
        <w:rPr>
          <w:rFonts w:ascii="Times New Roman;serif" w:hAnsi="Times New Roman;serif"/>
          <w:b w:val="false"/>
          <w:i w:val="false"/>
          <w:caps w:val="false"/>
          <w:smallCaps w:val="false"/>
          <w:sz w:val="20"/>
        </w:rPr>
        <w:t>price.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that we compete favorably with respect to each of these factors by providing a highly diverse selection of products to our customers, at an attractive value, in appealing and convenient store locations, with exceptional customer service and on-site instructional opportunities. Further, while some larger factory-direct competitors manufacture their own products, many of our competitors do not maintain their own inventory and instead purchase their tile from domestic manufacturers or distributors when they receive an order from a customer. We also believe that we offer a broader range of products and stronger in-store customer support than these competitors.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Human Capital</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our employees are our strongest competitive advantage and the high-quality service that they provide sets us apart from others in our industry. As of December 31, 2025, we had 1,196 employees, 981 of whom were full-time and none who were represented by a union. This includes 924 employees who work in our stores, 85 who work in corporate, store support, infrastructure or similar functions, and 187 who work in our distribution and manufacturing facilities.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Board of Directors, through its Compensation Committee, provides oversight of human capital matters and reviews the Company’s compensation and benefits programs, as well as management development and succession planning practices and strategies.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principal human capital objectives are to attract, develop and retain people who are committed to our goal of providing the best service in our industry. To support these objectives, our human resources programs seek to:</w:t>
      </w:r>
    </w:p>
    <w:p>
      <w:pPr>
        <w:pStyle w:val="TextBody"/>
        <w:bidi w:val="0"/>
        <w:spacing w:lineRule="auto" w:line="252"/>
        <w:ind w:left="720" w:right="0" w:hanging="360"/>
        <w:rPr/>
      </w:pPr>
      <w:r>
        <w:rPr>
          <w:caps w:val="false"/>
          <w:smallCaps w:val="false"/>
        </w:rPr>
        <w:t></w:t>
      </w:r>
      <w:r>
        <w:rPr>
          <w:rFonts w:ascii="Times New Roman;serif" w:hAnsi="Times New Roman;serif"/>
          <w:b w:val="false"/>
          <w:i w:val="false"/>
          <w:caps w:val="false"/>
          <w:smallCaps w:val="false"/>
          <w:sz w:val="20"/>
        </w:rPr>
        <w:t>Reward our employees through highly competitive total compensation and benefit programs designed to reward exceptional performance, promote teamwork and support our employees’ total wellbeing.</w:t>
      </w:r>
    </w:p>
    <w:p>
      <w:pPr>
        <w:pStyle w:val="TextBody"/>
        <w:bidi w:val="0"/>
        <w:spacing w:lineRule="auto" w:line="252"/>
        <w:ind w:left="720" w:right="0" w:hanging="360"/>
        <w:rPr/>
      </w:pPr>
      <w:r>
        <w:rPr>
          <w:caps w:val="false"/>
          <w:smallCaps w:val="false"/>
        </w:rPr>
        <w:t></w:t>
      </w:r>
      <w:r>
        <w:rPr>
          <w:rFonts w:ascii="Times New Roman;serif" w:hAnsi="Times New Roman;serif"/>
          <w:b w:val="false"/>
          <w:i w:val="false"/>
          <w:caps w:val="false"/>
          <w:smallCaps w:val="false"/>
          <w:sz w:val="20"/>
        </w:rPr>
        <w:t>Provide development opportunities to enhance sales skills, product knowledge, exposure to the latest design trends, safety, teamwork and leadership.</w:t>
      </w:r>
    </w:p>
    <w:p>
      <w:pPr>
        <w:pStyle w:val="TextBody"/>
        <w:bidi w:val="0"/>
        <w:spacing w:lineRule="auto" w:line="252"/>
        <w:ind w:left="720" w:right="0" w:hanging="360"/>
        <w:rPr/>
      </w:pPr>
      <w:r>
        <w:rPr>
          <w:caps w:val="false"/>
          <w:smallCaps w:val="false"/>
        </w:rPr>
        <w:t></w:t>
      </w:r>
      <w:r>
        <w:rPr>
          <w:rFonts w:ascii="Times New Roman;serif" w:hAnsi="Times New Roman;serif"/>
          <w:b w:val="false"/>
          <w:i w:val="false"/>
          <w:caps w:val="false"/>
          <w:smallCaps w:val="false"/>
          <w:sz w:val="20"/>
        </w:rPr>
        <w:t>Enhance our culture through efforts aimed at promoting fairness and opportunity throughout the workplace.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Intellectual Property and Trademarks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registered and unregistered trademarks for all of our brands, including 25 registered trademarks. We regard our intellectual property as having significant value, and our brands are an important factor in the marketing of our products. Accordingly, we have taken, and continue to take, appropriate steps to protect our intellectual property.</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Government Regulation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subject to extensive and varied federal, state and local government regulation in the jurisdictions in which we operate, including laws and regulations relating to our relationships with our employees, public health and safety, zoning, and fire codes. We operate each of our stores, offices, and distribution and manufacturing facilities in accordance with standards and procedures designed to comply with applicable laws, codes, and regulations.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operations and properties are also subject to federal, state and local laws and regulations relating to the use, storage, handling, generation, transportation, treatment, emission, release, discharge and disposal of hazardous materials, substances, and wastes and relating to the investigation and cleanup of contaminated properties, including off-site disposal locations. We do not incur significant costs complying with environmental laws and regulations. However, we could be subject to material costs, liabilities, or claims relating to environmental compliance in the future, especially in the event of changes in existing laws and regulations or in their interpretation.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Products that we import into the United States are subject to laws and regulations imposed in conjunction with such importation, including those issued and enforced by U.S. Customs and Border Protection. We work closely with our suppliers to ensure compliance with the applicable laws and regulations in these areas.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Financial Information about Geographic Areas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majority of our revenues and profits are generated within the United States and all of our long-lived assets are located within the United States as well.</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Available Information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SEC maintains a website that contains reports, proxy and information statements, and other information regarding issuers that file electronically with the SEC. These materials may be obtained electronically by accessing the SEC’s website at </w:t>
      </w:r>
      <w:r>
        <w:rPr>
          <w:rFonts w:ascii="Times New Roman;serif" w:hAnsi="Times New Roman;serif"/>
          <w:b w:val="false"/>
          <w:i w:val="false"/>
          <w:caps w:val="false"/>
          <w:smallCaps w:val="false"/>
          <w:sz w:val="20"/>
          <w:u w:val="single"/>
        </w:rPr>
        <w:t>http://www.sec.gov</w:t>
      </w:r>
      <w:r>
        <w:rPr>
          <w:rFonts w:ascii="Times New Roman;serif" w:hAnsi="Times New Roman;serif"/>
          <w:b w:val="false"/>
          <w:i w:val="false"/>
          <w:caps w:val="false"/>
          <w:smallCaps w:val="false"/>
          <w:sz w:val="20"/>
        </w:rPr>
        <w: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maintain a website at </w:t>
      </w:r>
      <w:r>
        <w:rPr>
          <w:rFonts w:ascii="Times New Roman;serif" w:hAnsi="Times New Roman;serif"/>
          <w:b w:val="false"/>
          <w:i w:val="false"/>
          <w:caps w:val="false"/>
          <w:smallCaps w:val="false"/>
          <w:sz w:val="20"/>
          <w:u w:val="single"/>
        </w:rPr>
        <w:t>www.tileshop.com</w:t>
      </w:r>
      <w:r>
        <w:rPr>
          <w:rFonts w:ascii="Times New Roman;serif" w:hAnsi="Times New Roman;serif"/>
          <w:b w:val="false"/>
          <w:i w:val="false"/>
          <w:caps w:val="false"/>
          <w:smallCaps w:val="false"/>
          <w:sz w:val="20"/>
        </w:rPr>
        <w:t xml:space="preserve">. Information contained on or accessible through our website is not a part of, and is not incorporated by reference into, this Form 10-K or any other report or document we file with the SEC. Any reference to our website is intended to be an inactive textual reference only. We make our annual reports on Form 10-K, quarterly reports on Form 10-Q, current reports on Form 8-K and amendments to those reports available on our website, free of charge, as soon as reasonably practicable after such reports have been filed with or furnished to the SEC. Our Code of Business Conduct and Ethics, as well as any waivers from and amendments to the Code of Business Conduct and Ethics, is also posted on our website.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report includes market data and certain other statistical information and estimates that are based on reports and other publications from industry analysts, market research firms, and other independent sources, as well as management’s own good faith estimates and analyses. We believe these third-party reports to be reputable, but have not independently verified the underlying data sources, methodologies, or assumptions. The reports and other publications referenced are generally available to the public and were not commissioned by us. Information that is based on estimates, forecasts, projections, market research, or similar methodologies is inherently subject to uncertainties, and actual events or circumstances may differ materially from events and circumstances reflected in this information.</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1A. R</w:t>
      </w:r>
      <w:bookmarkStart w:id="8" w:name="Item_1A_RiskFactors"/>
      <w:bookmarkEnd w:id="8"/>
      <w:r>
        <w:rPr>
          <w:rFonts w:ascii="Times New Roman;serif" w:hAnsi="Times New Roman;serif"/>
          <w:b/>
          <w:i w:val="false"/>
          <w:caps w:val="false"/>
          <w:smallCaps w:val="false"/>
          <w:sz w:val="20"/>
        </w:rPr>
        <w:t>ISK FACTORS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are material factors known to us that could adversely affect our business, financial condition, or operating results, as well as adversely affect the value of an investment in our common stock. These risks could cause our actual results to differ materially from our historical experience and from results predicted by forward-looking statements. Although the risks are organized by headings and each risk is discussed separately, many are interrelated. All forward-looking statements made by us are qualified by the risks described below. Disclosures of risks should not be interpreted to imply that the risks have not already materialized, and there may be additional risks that are not presently material or known. You should carefully consider each of the following risks and all other information set forth in this report.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Risks Related to Our Growth Strategy</w:t>
      </w:r>
    </w:p>
    <w:p>
      <w:pPr>
        <w:pStyle w:val="TextBody"/>
        <w:bidi w:val="0"/>
        <w:spacing w:lineRule="auto" w:line="259"/>
        <w:rPr>
          <w:rFonts w:ascii="Times New Roman;serif" w:hAnsi="Times New Roman;serif"/>
          <w:b/>
          <w:i/>
          <w:sz w:val="20"/>
        </w:rPr>
      </w:pPr>
      <w:r>
        <w:rPr>
          <w:rFonts w:ascii="Times New Roman;serif" w:hAnsi="Times New Roman;serif"/>
          <w:b/>
          <w:i/>
          <w:sz w:val="20"/>
        </w:rPr>
        <w:t>Our ability to grow and remain profitable may be limited by direct or indirect competition in the highly-competitive retail tile industry.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retail tile industry in the United States is highly competitive. Participants in the tile industry compete primarily based on product variety, customer service, store location, and price. There can be no assurance that we will be able to continue to compete favorably with our competitors in these areas. Our store competitors include large national home centers, regional and local specialty retailers of tile, factory-direct stores, privately-owned, single-site stores and online-only competitors. We also compete indirectly with companies that sell other types of floor coverings, including wood floors, carpet, and vinyl sheet. In the past, we have faced periods of heightened competition that materially affected our results of operations. Certain of our competitors have greater name recognition, longer operating histories, more varied product offerings, and substantially greater financial and other resources than us. Accordingly, we may face periods of intense competition in the future that could have a material adverse effect on our planned growth and future results of operations. Moreover, the barriers to entry into the retail tile industry are relatively low. New or existing retailers could enter our markets and increase the competition that we face. In addition, manufacturers and suppliers of tile and related products, including those whose products we currently sell, could enter the United States retail tile market and start directly competing with us. Further, the retail industry in general is subject to rapid technological change, which may increase the amount of capital we spend in the future as we work to sustain and grow our technological infrastructure and digital commerce capabilities in order to remain competitive. Competition in existing and new markets may also prevent or delay our ability to gain relative market share. Any of the developments described above could have a material adverse effect on our planned growth and future results of operations.</w:t>
      </w:r>
    </w:p>
    <w:p>
      <w:pPr>
        <w:pStyle w:val="TextBody"/>
        <w:bidi w:val="0"/>
        <w:spacing w:lineRule="auto" w:line="259"/>
        <w:rPr>
          <w:rFonts w:ascii="Times New Roman;serif" w:hAnsi="Times New Roman;serif"/>
          <w:b/>
          <w:i/>
          <w:sz w:val="20"/>
        </w:rPr>
      </w:pPr>
      <w:r>
        <w:rPr>
          <w:rFonts w:ascii="Times New Roman;serif" w:hAnsi="Times New Roman;serif"/>
          <w:b/>
          <w:i/>
          <w:sz w:val="20"/>
        </w:rPr>
        <w:t>Any failure by us to successfully anticipate consumer trends may lead to loss of consumer acceptance of our products, resulting in reduced revenues.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success depends on our ability to anticipate and respond to changing trends in the tile industry and consumer demands in a timely manner. If we fail to identify and respond to emerging trends, consumer acceptance of our merchandise and our image with current or potential customers may be harmed, which could reduce our revenue potential. Additionally, if we misjudge market trends, we may significantly overstock unpopular products and be forced to reduce the sales price of such products, which would have a negative impact on our gross profit and cash flow. Conversely, shortages of products that prove popular, or increases in our pricing as a result of general product shortages, supply chain disruptions and inflationary cost pressure, could cause customers to seek alternative sources of such products, as well as other products they may have purchased from us, which could also reduce our revenues.</w:t>
      </w:r>
    </w:p>
    <w:p>
      <w:pPr>
        <w:pStyle w:val="TextBody"/>
        <w:bidi w:val="0"/>
        <w:spacing w:lineRule="auto" w:line="259"/>
        <w:rPr>
          <w:rFonts w:ascii="Times New Roman;serif" w:hAnsi="Times New Roman;serif"/>
          <w:b/>
          <w:i/>
          <w:sz w:val="20"/>
        </w:rPr>
      </w:pPr>
      <w:r>
        <w:rPr>
          <w:rFonts w:ascii="Times New Roman;serif" w:hAnsi="Times New Roman;serif"/>
          <w:b/>
          <w:i/>
          <w:sz w:val="20"/>
        </w:rPr>
        <w:t>If we are unable to effectively manage our online sales, our reputation and operating results may be harmed.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Consumers are increasingly embracing shopping online and through mobile commerce applications. Any failure on our part to provide an attractive, reliable and user-friendly digital platform that offers a wide assortment of merchandise and meets the changing expectations of online shoppers could place us at a competitive disadvantage, result in the loss of e-commerce and other sales, harm our reputation with consumers, and have a material adverse impact on the growth of our e-commerce business and on our business and results of operations. We are vulnerable to certain risks and uncertainties associated with our e-commerce operations, including changes in required technology interfaces, website downtime and other technical failures, costs and technical issues for upgrades of our website software, computer viruses, changes in applicable federal and state regulations, security breaches and consumer privacy concerns. If not managed, these risks could adversely impact our operating results.</w:t>
      </w:r>
    </w:p>
    <w:p>
      <w:pPr>
        <w:pStyle w:val="TextBody"/>
        <w:bidi w:val="0"/>
        <w:spacing w:lineRule="auto" w:line="259"/>
        <w:rPr>
          <w:rFonts w:ascii="Times New Roman;serif" w:hAnsi="Times New Roman;serif"/>
          <w:b/>
          <w:i/>
          <w:sz w:val="20"/>
        </w:rPr>
      </w:pPr>
      <w:bookmarkStart w:id="9" w:name="_Hlk156120629"/>
      <w:bookmarkEnd w:id="9"/>
      <w:r>
        <w:rPr>
          <w:rFonts w:ascii="Times New Roman;serif" w:hAnsi="Times New Roman;serif"/>
          <w:b/>
          <w:i/>
          <w:sz w:val="20"/>
        </w:rPr>
        <w:t>Our success depends on the effectiveness of our marketing strategy.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our growth was achieved in part through the effectiveness of our marketing strategy, which uses a variety of marketing channels, tactics and methods to reach a qualified audience. Our diversified strategy includes traditional media advertising in print and direct mail, digital media through online advertising, social media marketing, search engine optimization, email marketing, influencer marketing and content marketing, which involves creating and distributing brand content such as blogs and videos. If our marketing strategies fail to draw customers in the future, or if the cost of advertising or other marketing materials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increases significantly, we could experience declines in our net sales and operating results. In addition, our limited use of discount and promotional offers could fail to attract customers, resulting in a decrease in store traffic.</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recent years, there has been a substantial increase in the use of social media platforms by consumers. Negative commentary regarding us or the products we sell may be posted on social media platforms or other electronic means at any time and may be adverse to our reputation or business. Customers value readily available information and often act on such information without further investigation and without regard to its accuracy. Any harm to us or the products we sell may be immediate without allowing us an opportunity for redress or correction.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Risks Related to our Business, Operations and Financial Condition </w:t>
      </w:r>
    </w:p>
    <w:p>
      <w:pPr>
        <w:pStyle w:val="TextBody"/>
        <w:bidi w:val="0"/>
        <w:spacing w:lineRule="auto" w:line="259"/>
        <w:rPr>
          <w:rFonts w:ascii="Times New Roman;serif" w:hAnsi="Times New Roman;serif"/>
          <w:b/>
          <w:i/>
          <w:sz w:val="20"/>
        </w:rPr>
      </w:pPr>
      <w:r>
        <w:rPr>
          <w:rFonts w:ascii="Times New Roman;serif" w:hAnsi="Times New Roman;serif"/>
          <w:b/>
          <w:i/>
          <w:sz w:val="20"/>
        </w:rPr>
        <w:t>Numerous economic factors, including inflation, trade policy, our exposure to the U.S. housing industry, and an economic recession or downturn, or a downturn in the U.S. housing industry, could adversely affect us.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results of operations are sensitive to changes in macroeconomic conditions that affect consumer spending, including discretionary spending, especially as a substantial portion of the products we offer are products that consumers may view as discretionary items rather than necessities. An overall decline in the health of the economy, the tile industry, consumer confidence and spending, and the housing market, including as a result of high inflation or fluctuating interest rates, tariffs and other trade barriers and restrictions, instability in the global banking system, ongoing supply chain disruptions, unemployment rates, labor shortages, geopolitical instability and/or the possibility of an economic downturn or recession or other macroeconomic factors could adversely impact our business, financial condition and operating results. In addition, difficult macroeconomic conditions also affect our customers’ ability to obtain consumer credit.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U.S. government announced new global trade tariffs on imports to the U.S. during fiscal 2025, including additional tariffs on various countries from which the Company directly or indirectly imports products. In response, several countries have imposed or threatened reciprocal tariffs on imports from the U.S. and other measures. Various modifications to the U.S. tariffs have been announced, and further changes are expected to be made in the future, including in response to litigation. On February 20, 2026, the U.S. Supreme Court rendered a decision invalidating tariffs imposed under the International Emergency Economic Powers Act. This decision introduces uncertainty regarding potential refund processes and further uncertainty regarding future trade policy actions and could affect the Company’s cost structure and supply chain planning. The ultimate impact of tariffs and other trade policies on the Company’s business will depend on several factors, including future measures implemented by the U.S. government and the governments of other countries, the overall magnitude and duration of these measures, and the Company’s ability to mitigate effects, which could include higher import costs. Accordingly, the Company’s financial position or results of operations may be adversely influenced by political, economic, legal, compliance, social and business conditions in the U.S. and in other countries.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continues to monitor the impacts of various macroeconomic factors, such as inflationary pressure, changes in monetary policy, decreasing consumer confidence and spending, political and social unrest, the introduction of or changes in tariffs or trade barriers, employment rates, and the potential for an economic downturn or recession. Such changes in macroeconomic conditions may lead to increased costs. Additionally, these macroeconomic trends could adversely affect the Company’s customers, which could impact their willingness to spend on the Company’s products and services, or their ability to make payments, which could negatively impact our financial results. While our risk expectation is that these different factors will moderate in the future, the timing and precise outlook for these improvements is uncertain, and we cannot predict the ultimate impact such factors will have on the Company’s business, financial condition, results of operation and cash flows, which will depend largely on future developments.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we believe that our tile sales are affected by the strength of the U.S. housing industry, and downturns in the U.S. housing industry could have a material adverse effect on our financial results, business, and prospects. The housing industry depends on a number of factors that are beyond our control, including interest rates, inflation, tax policy, trade policy, employment levels, consumer confidence, credit availability, real estate prices, home-price appreciation, existing home sales, demographic trends, weather conditions, natural disasters and general economic conditions. Any one or a combination of these factors could result in decreased demand for our products, reduce spending on homebuilding or remodeling of existing homes or cause purchases of new and existing homes to decline, which could adversely affect our business, financial condition, and operating results.</w:t>
      </w:r>
    </w:p>
    <w:p>
      <w:pPr>
        <w:pStyle w:val="TextBody"/>
        <w:bidi w:val="0"/>
        <w:spacing w:lineRule="auto" w:line="259"/>
        <w:rPr>
          <w:rFonts w:ascii="Times New Roman;serif" w:hAnsi="Times New Roman;serif"/>
          <w:b/>
          <w:i/>
          <w:sz w:val="20"/>
        </w:rPr>
      </w:pPr>
      <w:r>
        <w:rPr>
          <w:rFonts w:ascii="Times New Roman;serif" w:hAnsi="Times New Roman;serif"/>
          <w:b/>
          <w:i/>
          <w:sz w:val="20"/>
        </w:rPr>
        <w:t>Our comparable store sales fluctuate due to a variety of economic, operating, industry and environmental factors and may not be a fair indicator of our overall performance.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comparable store sales have experienced fluctuations, which can be expected to continue. Numerous factors affect our comparable store sales results, including, among others, the timing of new and relocated store openings, the relative proportion of new and relocated stores to mature stores, cannibalization resulting from the opening of new stores in existing markets, changes in advertising and other operating costs, the timing and level of markdowns, changes in our product mix, weather conditions, which may be exacerbated by the effects of climate change, retail trends, the retail sales environment, economic and geopolitical conditions, inflation, the impact of competition, and our ability to execute our business strategy. As a result, comparable store sales or operating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results may fluctuate and may cause the price of our securities to fluctuate significantly. Therefore, we believe that period-to-period comparisons of our comparable store sales may not be a reliable indicator of our future overall operating performance.</w:t>
      </w:r>
    </w:p>
    <w:p>
      <w:pPr>
        <w:pStyle w:val="TextBody"/>
        <w:bidi w:val="0"/>
        <w:spacing w:lineRule="auto" w:line="259"/>
        <w:rPr>
          <w:rFonts w:ascii="Times New Roman;serif" w:hAnsi="Times New Roman;serif"/>
          <w:b/>
          <w:i/>
          <w:sz w:val="20"/>
        </w:rPr>
      </w:pPr>
      <w:r>
        <w:rPr>
          <w:rFonts w:ascii="Times New Roman;serif" w:hAnsi="Times New Roman;serif"/>
          <w:b/>
          <w:i/>
          <w:sz w:val="20"/>
        </w:rPr>
        <w:t>If customers are unable to obtain third-party financing at satisfactory rates, sales of our products could be materially adversely affected.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Reduced access to credit may adversely affect the ability of consumers to purchase our products and may adversely impact our ability to offer customers credit card financing through third-party credit providers on terms similar to those offered currently, or at all. In addition, economic conditions, including decreases in access to credit, may result in financial difficulties, leading to restructuring, bankruptcies, liquidations and other unfavorable events for our customers, which may adversely impact our industry, business, and results of operations. </w:t>
      </w:r>
    </w:p>
    <w:p>
      <w:pPr>
        <w:pStyle w:val="TextBody"/>
        <w:bidi w:val="0"/>
        <w:spacing w:lineRule="auto" w:line="259"/>
        <w:rPr>
          <w:rFonts w:ascii="Times New Roman;serif" w:hAnsi="Times New Roman;serif"/>
          <w:sz w:val="20"/>
        </w:rPr>
      </w:pPr>
      <w:r>
        <w:rPr>
          <w:rFonts w:ascii="Times New Roman;serif" w:hAnsi="Times New Roman;serif"/>
          <w:b/>
          <w:i/>
          <w:sz w:val="20"/>
        </w:rPr>
        <w:t>The burden of incurring debt under our existing credit facility could adversely affect us and make us more vulnerable to adverse economic or industry conditions.</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entered into a revolving credit facility with JPMorgan Chase Bank, N.A. on September 30, 2022.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As of December 31, 2025, we had borrowings outstanding of $25.0 million on our revolving line of credit and had $48.8 million available for future borrowings. The terms of our credit facility could limit our ability to obtain additional financing to fund our working capital, capital expenditures, debt service requirements, expansion strategy, or other needs, which could increase our vulnerability to, and reduce our flexibility in planning for, adverse changes in economic, industry, and competitive conditions.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credit facility contains negative covenants that limit our ability to engage in specified types of transactions, including, among other things, our ability to dispose of assets, engage in acquisitions or mergers, make distributions on or repurchases of capital stock, incur additional debt, incur liens or make investments. A breach of any of these covenants (not otherwise waived or amended) could result in an event of default under our credit facility, which would allow the lender to declare all amounts outstanding to be immediately due and payable and terminate all commitments to extend further credit or seek amendments to our debt agreements that would provide for terms more favorable to our lenders, which we may have to accept under the circumstances. </w:t>
      </w:r>
    </w:p>
    <w:p>
      <w:pPr>
        <w:pStyle w:val="TextBody"/>
        <w:bidi w:val="0"/>
        <w:spacing w:lineRule="auto" w:line="259"/>
        <w:rPr>
          <w:rFonts w:ascii="Times New Roman;serif" w:hAnsi="Times New Roman;serif"/>
          <w:b/>
          <w:i/>
          <w:sz w:val="20"/>
        </w:rPr>
      </w:pPr>
      <w:r>
        <w:rPr>
          <w:rFonts w:ascii="Times New Roman;serif" w:hAnsi="Times New Roman;serif"/>
          <w:b/>
          <w:i/>
          <w:sz w:val="20"/>
        </w:rPr>
        <w:t>If we are unable to renew or replace current store leases, or if we are unable to enter into leases for additional stores on favorable terms, or if one or more of our current leases is terminated prior to expiration of its stated term and we cannot find suitable alternate store locations, our growth and profitability could be negatively impacted.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currently lease all of our store locations. Many of our current leases provide us with the unilateral option to renew for several additional rental periods at specific rental rates. Our ability to renegotiate favorable terms on an expiring lease or to negotiate favorable terms for a suitable alternate location, and our ability to negotiate favorable lease terms for additional store locations, could depend on conditions in the real estate market, competition for desirable properties, our relationships with current and prospective landlords, or other factors that are not within our control. Any or all of these factors and conditions could negatively impact our growth and profitability.</w:t>
      </w:r>
    </w:p>
    <w:p>
      <w:pPr>
        <w:pStyle w:val="TextBody"/>
        <w:bidi w:val="0"/>
        <w:spacing w:lineRule="auto" w:line="259"/>
        <w:rPr>
          <w:rFonts w:ascii="Times New Roman;serif" w:hAnsi="Times New Roman;serif"/>
          <w:b/>
          <w:i/>
          <w:sz w:val="20"/>
        </w:rPr>
      </w:pPr>
      <w:r>
        <w:rPr>
          <w:rFonts w:ascii="Times New Roman;serif" w:hAnsi="Times New Roman;serif"/>
          <w:b/>
          <w:i/>
          <w:sz w:val="20"/>
        </w:rPr>
        <w:t>Natural disasters, changes in climate, geopolitical and other catastrophic events could adversely affect our operating results.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threat or occurrence of one or more natural disasters or other extreme weather events, the nature, frequency and severity of which may be negatively impacted by climate change, and the threat or outbreak of terrorism, civil unrest, banking instability, tariffs and other trade barriers or restrictions, political instability, a public health crisis, or other adverse events could materially adversely affect our financial performance. Such events have in the past, and may in the future, disrupt supply chains, resulting in increased costs and shipping delays, increase costs of energy and raw materials, and result in damage to, or destruction or closure of, our stores, distribution centers and other properties or those of our suppliers, customers and other business partners, as well as injuries or loss of life. Such events can also adversely affect our work force and prevent employees and customers from reaching our stores and other properties, can modify consumer purchasing patterns and decrease disposable income, and can disrupt or disable portions of our supply chain and distribution network.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to the foregoing, the impacts of climate change, including changes in weather patterns and the increased frequency, intensity and duration of extreme weather events (such as floods, droughts, wildfires and severe storms), could, among other things, adversely impact the ability to extract natural stones from quarries, which is a key resource for a number of our products, disrupt the operation of our supply chain and the productivity of manufacturers on which we rely, disrupt retail operations and foot traffic in consumer markets, damage or destroy our stores, and increase our product and transportation costs. In addition, the impacts of climate change on global water resources may result in water scarcity, which could in the future impact our ability, and the ability of our suppliers, particularly those involved in quarrying activities, to access sufficient quantities of water in certain locations and result in increased costs, as well as potentially causing supply chain delays, such as previously decreased traffic in the Panama Canal resulting from a drought causing low water levels.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Although preventative measures may help to mitigate damage from these types of catastrophic events, we cannot provide any assurance that any measures we may take will be successful, and delays in recovery may be significant. In addition, the insurance we maintain may not be adequate to cover our losses resulting from any business interruption, including those resulting from a natural disaster or other severe weather event, and recurring extreme weather events or other adverse events could reduce the availability or increase the cost of insurance. </w:t>
      </w:r>
    </w:p>
    <w:p>
      <w:pPr>
        <w:pStyle w:val="TextBody"/>
        <w:bidi w:val="0"/>
        <w:spacing w:lineRule="auto" w:line="259"/>
        <w:rPr>
          <w:rFonts w:ascii="Times New Roman;serif" w:hAnsi="Times New Roman;serif"/>
          <w:b/>
          <w:i/>
          <w:sz w:val="20"/>
        </w:rPr>
      </w:pPr>
      <w:r>
        <w:rPr>
          <w:rFonts w:ascii="Times New Roman;serif" w:hAnsi="Times New Roman;serif"/>
          <w:b/>
          <w:i/>
          <w:sz w:val="20"/>
        </w:rPr>
        <w:t>We are a holding company with no business operations of our own and depend on cash flow from The Tile Shop to meet our obligations.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are a holding company with no business operations of our own or material assets other than the equity of our subsidiaries. All of our operations are conducted by our subsidiaries, including</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Tile Shop. As a holding company, we will require dividends and other payments from our subsidiaries to meet cash requirements. The terms of any future credit facility may restrict our subsidiaries from paying dividends and otherwise transferring cash or other assets to us, although our current facility does not restrict this action. If there is an insolvency, liquidation, or other reorganization of any of our subsidiaries, our stockholders likely will have no right to proceed against their assets. Creditors of those subsidiaries will be entitled to payment in full from the sale or other disposal of the assets of those subsidiaries before we, as an equity holder, would be entitled to receive any distribution from that sale or disposal. If The Tile Shop is unable to pay dividends or make other payments to us when needed, we will be unable to satisfy our obligations.</w:t>
      </w:r>
    </w:p>
    <w:p>
      <w:pPr>
        <w:pStyle w:val="TextBody"/>
        <w:bidi w:val="0"/>
        <w:spacing w:lineRule="auto" w:line="259"/>
        <w:rPr>
          <w:rFonts w:ascii="Times New Roman;serif" w:hAnsi="Times New Roman;serif"/>
          <w:b/>
          <w:i/>
          <w:sz w:val="20"/>
        </w:rPr>
      </w:pPr>
      <w:r>
        <w:rPr>
          <w:rFonts w:ascii="Times New Roman;serif" w:hAnsi="Times New Roman;serif"/>
          <w:b/>
          <w:i/>
          <w:sz w:val="20"/>
        </w:rPr>
        <w:t>Our failure or inability to protect our intellectual property rights could diminish the value of our brand and weaken our competitive position.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attempt to protect our intellectual property rights through a combination of copyright, patent, trademark, trade secret, trade dress and unfair competition laws, as well as confidentiality procedures, and assignment and licensing arrangements. Our failure to obtain or maintain adequate protection of our intellectual property rights for any reason could have a material adverse effect on our business, results of operations and financial condition, and might prevent our brands from achieving or maintaining market acceptance. Further, we cannot assure you that competitors or other third parties will not infringe upon our intellectual property rights, or that we will have adequate resources to enforce our intellectual property rights.</w:t>
      </w:r>
    </w:p>
    <w:p>
      <w:pPr>
        <w:pStyle w:val="TextBody"/>
        <w:bidi w:val="0"/>
        <w:spacing w:lineRule="auto" w:line="259"/>
        <w:rPr>
          <w:rFonts w:ascii="Times New Roman;serif" w:hAnsi="Times New Roman;serif"/>
          <w:b/>
          <w:i/>
          <w:sz w:val="20"/>
        </w:rPr>
      </w:pPr>
      <w:r>
        <w:rPr>
          <w:rFonts w:ascii="Times New Roman;serif" w:hAnsi="Times New Roman;serif"/>
          <w:b/>
          <w:i/>
          <w:sz w:val="20"/>
        </w:rPr>
        <w:t>Sustainability policies and practices could result in additional costs, and could adversely impact our reputation, consumer perception, employee retention, and willingness of third parties to do business with us.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If our sustainability policies and practices fail to meet regulatory requirements or stakeholders’ evolving expectations and standards for responsible corporate citizenship in areas including environmental stewardship, support for local communities, human capital management, employee health and safety practices, corporate governance and transparency and employing sustainability strategies in our operations, our brand, reputation and employee retention may be negatively impacted, and customers and suppliers may be unwilling to do business with us. At the same time, there also exists anti-environmental, social and governance, including anti-diversity, equity and inclusion, sentiment among certain stakeholders and government institutions, and we may face scrutiny, reputational risk, lawsuits or market access restrictions from these parties. The effects of climate change and increased focus by stakeholders on sustainability matters could have short- and long-term impacts on our business, operations and reputation. Inconsistency of legislation and regulations among jurisdictions, including anti-environmental, social and governance policies or legislation, and any additional regulations may also affect the costs of compliance with such laws and regulations. Any assessment of the potential impact of future sustainability-related legislation, regulations or industry standards, as well as any international treaties and accords, is uncertain given the wide scope of potential regulatory change where we operate.</w:t>
      </w:r>
    </w:p>
    <w:p>
      <w:pPr>
        <w:pStyle w:val="TextBody"/>
        <w:bidi w:val="0"/>
        <w:spacing w:lineRule="auto" w:line="259"/>
        <w:rPr>
          <w:rFonts w:ascii="Times New Roman;serif" w:hAnsi="Times New Roman;serif"/>
          <w:b/>
          <w:i w:val="false"/>
          <w:caps w:val="false"/>
          <w:smallCaps w:val="false"/>
          <w:sz w:val="20"/>
        </w:rPr>
      </w:pPr>
      <w:bookmarkStart w:id="10" w:name="_Hlk64471138"/>
      <w:bookmarkEnd w:id="10"/>
      <w:r>
        <w:rPr>
          <w:rFonts w:ascii="Times New Roman;serif" w:hAnsi="Times New Roman;serif"/>
          <w:b/>
          <w:i w:val="false"/>
          <w:caps w:val="false"/>
          <w:smallCaps w:val="false"/>
          <w:sz w:val="20"/>
        </w:rPr>
        <w:t>Risks Related to Our Labor and Supply Chain</w:t>
      </w:r>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If we fail to identify and maintain relationships with a sufficient number of suppliers, our ability to obtain products that meet our high quality standards at attractive prices could be adversely affected.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purchase flooring and other products directly from suppliers located around the world. However, we do not have long-term contractual supply agreements with our suppliers that obligate them to supply us with products exclusively or at specified quantities or prices. As a result, our current suppliers may not continue selling products to us. In order to retain the competitive advantage that we believe results from these relationships, we need to continue to identify, develop and maintain relationships with qualified suppliers that can satisfy our high standards for quality and our requirements for flooring and other products in a timely and efficient manner at attractive prices. The need to develop new relationships will be particularly important as we seek to expand our operations and enhance our product offerings in the future. The loss of one or more of our existing suppliers or our inability to develop relationships with new suppliers could reduce our competitiveness, slow our plans for further expansion, and cause our net sales and operating results to be adversely affected. In addition, any failure to manage our inventory effectively could have a material and adverse effect on our business, financial condition and results of operations. Our sales could be adversely affected when we experience shortages of key items; further, any inability to meet our customers’ product needs could also adversely affect sales of other related products.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source the products that we stock and sell from approximately 200 domestic and international suppliers. We source a large number of those products from foreign manufacturers, including 43.3% of our products from a group of ten suppliers located in Asia, Europe and the United States during 2025. Our largest supplier accounted for approximately 12.7% of our total purchases in 2025. We generally take title to these products sourced from foreign suppliers overseas and are responsible for arranging shipment to our distribution centers. </w:t>
      </w:r>
    </w:p>
    <w:p>
      <w:pPr>
        <w:pStyle w:val="TextBody"/>
        <w:bidi w:val="0"/>
        <w:spacing w:lineRule="auto" w:line="259"/>
        <w:rPr>
          <w:rFonts w:ascii="Times New Roman;serif" w:hAnsi="Times New Roman;serif"/>
          <w:b/>
          <w:i/>
          <w:sz w:val="20"/>
        </w:rPr>
      </w:pPr>
      <w:r>
        <w:rPr>
          <w:rFonts w:ascii="Times New Roman;serif" w:hAnsi="Times New Roman;serif"/>
          <w:b/>
          <w:i/>
          <w:sz w:val="20"/>
        </w:rPr>
        <w:t>Our reliance on foreign suppliers increases our risk of not obtaining adequate, timely and cost-effective products and other risks involved in foreign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risks associated with direct sourcing from overseas manufacturers may be higher than the risks associated with our traditional domestic suppliers. Foreign sourcing subjects us to a number of risks, including long lead times; work stoppages; shipping delays and interruptions; product quality issues; employee rights issues; other social concerns; public health crises; political instability; acts of terrorism or war; economic disruptions; the imposition of tariffs, including those imposed by the United States on goods imported from China, Canada, Mexico and Russia, duties, quotas, import and export controls and other trade restrictions, as well as the possibility of a global trade war; changes in governmental policies, including potential adverse changes in tax laws and regulations; uncertainty surrounding the enforcement of laws (if any) relating to the protection of intellectual property or data security; and other events. Additionally, reductions in the value of the U.S. dollar or revaluation of foreign currencies used, could ultimately increase the prices that we pay for our products.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all of our products manufactured overseas and imported into the U.S. are subject to duties collected by the U.S. Customs and Border Protection. We may be subjected to additional duties, significant monetary penalties, the seizure and forfeiture of the products we are attempting to import or the loss of import privileges if we or our suppliers are found to be in violation of U.S. laws and regulations applicable to the importation of our products. If duties were to be significantly increased, it could have a material adverse impact on us.</w:t>
      </w:r>
    </w:p>
    <w:p>
      <w:pPr>
        <w:pStyle w:val="TextBody"/>
        <w:bidi w:val="0"/>
        <w:spacing w:lineRule="auto" w:line="259"/>
        <w:rPr>
          <w:rFonts w:ascii="Times New Roman;serif" w:hAnsi="Times New Roman;serif"/>
          <w:b/>
          <w:i/>
          <w:sz w:val="20"/>
        </w:rPr>
      </w:pPr>
      <w:r>
        <w:rPr>
          <w:rFonts w:ascii="Times New Roman;serif" w:hAnsi="Times New Roman;serif"/>
          <w:b/>
          <w:i/>
          <w:sz w:val="20"/>
        </w:rPr>
        <w:t>Our ability to offer compelling products, particularly products made of unique stone, depends on the continued availability of sufficient suitable natural products.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business strategy depends on offering a wide assortment of compelling products to our customers. We sell, among other things, products made from various natural stones from quarries throughout the world. Our ability to obtain an adequate volume and quality of hard-to-find products depends on our suppliers’ ability to furnish those products, which, in turn, could be affected by many factors, including the exhaustion of stone quarries or the impact of water scarcity, natural disasters or other extreme weather events, which may be exacerbated by climate change, on the ability to access or efficiently extract resources from such quarries. If our suppliers cannot deliver sufficient products, and we cannot find replacement suppliers, our net sales and operating results may be adversely affected.</w:t>
      </w:r>
    </w:p>
    <w:p>
      <w:pPr>
        <w:pStyle w:val="TextBody"/>
        <w:bidi w:val="0"/>
        <w:spacing w:lineRule="auto" w:line="259"/>
        <w:rPr>
          <w:rFonts w:ascii="Times New Roman;serif" w:hAnsi="Times New Roman;serif"/>
          <w:b/>
          <w:i/>
          <w:sz w:val="20"/>
        </w:rPr>
      </w:pPr>
      <w:r>
        <w:rPr>
          <w:rFonts w:ascii="Times New Roman;serif" w:hAnsi="Times New Roman;serif"/>
          <w:b/>
          <w:i/>
          <w:sz w:val="20"/>
        </w:rPr>
        <w:t>Our success is highly dependent on our ability to provide timely delivery to our customers, and any disruption in our delivery capabilities or our related planning and control processes may adversely affect our operating results.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success is due in part to our ability to deliver products quickly to our customers, which requires successful planning and distribution infrastructure, including ordering, transportation and receipt processing, and the ability of suppliers to meet distribution requirements. Our ability to maintain this success depends on the continued identification and implementation of improvements to our planning processes, distribution infrastructure, and supply chain. We also need to ensure that our distribution infrastructure and supply chain keep pace with our anticipated growth and increased number of stores. The cost of these enhanced processes could be significant, and any failure to maintain, grow, or improve them could adversely affect our operating results. Our business has been, and could continue to be, adversely affected as a result of delays in product shipments due to freight difficulties, strikes, or other difficulties at our suppliers’ principal transport providers, or otherwise, including as a result of ongoing supply chain disruptions and labor shortages and tariffs and other trade barriers and restrictions. </w:t>
      </w:r>
    </w:p>
    <w:p>
      <w:pPr>
        <w:pStyle w:val="TextBody"/>
        <w:bidi w:val="0"/>
        <w:spacing w:lineRule="auto" w:line="259"/>
        <w:ind w:left="0" w:right="662" w:hanging="0"/>
        <w:rPr>
          <w:rFonts w:ascii="Times New Roman;serif" w:hAnsi="Times New Roman;serif"/>
          <w:b/>
          <w:i/>
          <w:sz w:val="20"/>
        </w:rPr>
      </w:pPr>
      <w:r>
        <w:rPr>
          <w:rFonts w:ascii="Times New Roman;serif" w:hAnsi="Times New Roman;serif"/>
          <w:b/>
          <w:i/>
          <w:sz w:val="20"/>
        </w:rPr>
        <w:t>We depend on a few key employees, and if we lose the services of these employees, we may not be able to operate our business effectively.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future success depends in part on our ability to attract and retain key executive, merchandising, marketing, and sales personnel who share our values and are able to operate effectively and consistently with our culture. Our inability to effectively integrate newly-hired officers or senior managers into our business processes, controls, systems and culture could have a material adverse effect on us. The loss or unavailability of any of our key employees could have a material adverse effect on us. In addition, ineffective succession planning could result in unexpected costs, reduced productivity and/or difficulties with respect to internal processes and controls. Our ability to successfully hire other experienced and qualified key employees cannot be assured and may be difficult because we face competition for these professionals from our competitors, our suppliers and other companies operating in our industry.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sz w:val="20"/>
        </w:rPr>
      </w:pPr>
      <w:r>
        <w:rPr>
          <w:rFonts w:ascii="Times New Roman;serif" w:hAnsi="Times New Roman;serif"/>
          <w:b/>
          <w:i/>
          <w:sz w:val="20"/>
        </w:rPr>
        <w:t>If we fail to hire, train, and retain qualified store managers, sales associates, and other employees, our enhanced customer service could be compromised and we could lose sales to our competitors.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key element of our competitive strategy is to provide product expertise to our customers through our extensively trained, commissioned sales associates. We may be constrained in hiring and retaining sufficient qualified employees to support our strategy due to general labor shortages in our industry. In addition, a lack of qualified personnel or increased turnover rates within our employee base could lead to increased costs, such as increased overtime to meet demand and increased wage rates to attract and retain qualified employees. If we are unable to attract and retain qualified personnel and managers as needed in the future, including qualified sales personnel, our level of customer service may decline, which may decrease our revenues and profitability.</w:t>
      </w:r>
    </w:p>
    <w:p>
      <w:pPr>
        <w:pStyle w:val="TextBody"/>
        <w:bidi w:val="0"/>
        <w:spacing w:lineRule="auto" w:line="259"/>
        <w:rPr>
          <w:rFonts w:ascii="Times New Roman;serif" w:hAnsi="Times New Roman;serif"/>
          <w:b/>
          <w:i/>
          <w:sz w:val="20"/>
        </w:rPr>
      </w:pPr>
      <w:r>
        <w:rPr>
          <w:rFonts w:ascii="Times New Roman;serif" w:hAnsi="Times New Roman;serif"/>
          <w:b/>
          <w:i/>
          <w:sz w:val="20"/>
        </w:rPr>
        <w:t>Our ability to control labor costs is limited, which may negatively affect our business.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ability to control labor costs is subject to numerous external factors, including prevailing wage rates, inflationary pressures, the impact of legislation or regulations governing healthcare benefits or labor relations, and health and other insurance costs. If our labor and/or benefit costs increase, we may not be able to hire or maintain qualified personnel to the extent necessary to execute our competitive strategy, which could adversely affect our results of operations.</w:t>
      </w:r>
    </w:p>
    <w:p>
      <w:pPr>
        <w:pStyle w:val="TextBody"/>
        <w:bidi w:val="0"/>
        <w:spacing w:lineRule="auto" w:line="259"/>
        <w:rPr>
          <w:rFonts w:ascii="Times New Roman;serif" w:hAnsi="Times New Roman;serif"/>
          <w:b/>
          <w:i/>
          <w:sz w:val="20"/>
        </w:rPr>
      </w:pPr>
      <w:r>
        <w:rPr>
          <w:rFonts w:ascii="Times New Roman;serif" w:hAnsi="Times New Roman;serif"/>
          <w:b/>
          <w:i/>
          <w:sz w:val="20"/>
        </w:rPr>
        <w:t>Our insurance coverage and self-insurance reserves may not cover future claims.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maintain various insurance policies for employee health and workers’ compensation. We are self-insured on certain health insurance plans and are responsible for losses up to a certain limit for these respective plans. We are also self-insured with regard to workers’ compensation coverage, in which case we are responsible for losses up to certain retention limits on both a per-claim and aggregate basis.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policies under which we are responsible for losses, we record a liability that represents our estimated cost of claims incurred and unpaid as of the balance sheet date. Our estimated liability is not discounted and is based on a number of assumptions and factors, including historical trends and economic conditions, and is closely monitored and adjusted when warranted by changing circumstances. Fluctuating healthcare costs, our growth rate and changes from our past experience with workers’ compensation claims could affect the accuracy of estimates based on historical experience. Should a greater amount of claims occur compared to what was estimated or employee health insurance costs increase beyond what was expected, our accrued liabilities might not be sufficient, and we may be required to record additional expense. Unanticipated changes may produce materially different amounts of expense than that reported under these programs, which could adversely impact our operating results.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also maintain third-party insurance coverage against various other liability risks and risks of property loss, including directors’ and officers’ liability insurance coverage. Potential liabilities associated with those risks or other events could exceed the coverage provided by such arrangements, resulting in significant uninsured liabilities, which could have a material and adverse effect on our business, financial condition and results of operations. In addition, claims brought against us have resulted in, and additional claims could further result in, increased directors’ and officers’ insurance premiums and a reduction in coverage, which could negatively affect us, including by increasing our insurance costs and impacting our ability to attract and retain qualified officers and directors.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Legal and Regulatory Risks</w:t>
      </w:r>
    </w:p>
    <w:p>
      <w:pPr>
        <w:pStyle w:val="TextBody"/>
        <w:bidi w:val="0"/>
        <w:spacing w:lineRule="auto" w:line="259"/>
        <w:ind w:left="0" w:right="86" w:hanging="0"/>
        <w:rPr>
          <w:rFonts w:ascii="Times New Roman;serif" w:hAnsi="Times New Roman;serif"/>
          <w:b/>
          <w:i/>
          <w:sz w:val="20"/>
        </w:rPr>
      </w:pPr>
      <w:r>
        <w:rPr>
          <w:rFonts w:ascii="Times New Roman;serif" w:hAnsi="Times New Roman;serif"/>
          <w:b/>
          <w:i/>
          <w:sz w:val="20"/>
        </w:rPr>
        <w:t>Compliance with laws or changes in existing or new laws and regulations or regulatory enforcement priorities could adversely affect our business.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must comply with various laws and regulations at the local, regional, state, federal, and international levels. These laws and regulations change frequently, and such changes can impose significant costs and other burdens of compliance on our business and suppliers. Any changes in regulations, the imposition of additional regulations, or the enactment of any new legislation that affects employment/labor, trade, product safety, transportation/logistics, energy costs, health care, tax, environmental issues, including the impact of climate change, or compliance with applicable anti-bribery laws could have an adverse impact on our financial condition and results of operations. In addition, changes in enforcement priorities by governmental agencies charged with enforcing existing laws and regulations could increase our cost of doing business. The evolving and at times overlapping regulatory regimes to which the Company is subject may change at any time, including as a result of changes in the U.S. political environment. </w:t>
      </w:r>
      <w:bookmarkStart w:id="11" w:name="OLE_LINK40"/>
      <w:bookmarkEnd w:id="11"/>
      <w:r>
        <w:rPr>
          <w:rFonts w:ascii="Times New Roman;serif" w:hAnsi="Times New Roman;serif"/>
          <w:b w:val="false"/>
          <w:i w:val="false"/>
          <w:caps w:val="false"/>
          <w:smallCaps w:val="false"/>
          <w:sz w:val="20"/>
        </w:rPr>
        <w:t xml:space="preserve">In addition, a number of legal and regulatory measures and social initiatives have been introduced in an effort to reduce greenhouse gas and other carbon emissions. Any such initiatives, restrictions and requirements could restrict, or require us to make changes to, our operating activities, which could increase our operating costs, require us to make capital improvements to our properties, increase our energy, supply and transportation costs or limit their availability, affect the availability and cost of our products, or otherwise adversely affect our results of operations, liquidity or capital resources, and these effects could be material to us.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may also be subject to audits by various taxing authorities. Changes in tax laws in any of the multiple jurisdictions in which we operate, or adverse outcomes from tax audits that we may be subject to in any of the jurisdictions in which we operate, could result in an unfavorable change in our effective tax rate, which could have an adverse effect on our business and results of operations.</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If our suppliers do not use ethical business practices or comply with applicable laws and regulations, our reputation could be harmed due to negative publicity and we could be subject to legal risk.</w:t>
      </w:r>
    </w:p>
    <w:p>
      <w:pPr>
        <w:pStyle w:val="TextBody"/>
        <w:bidi w:val="0"/>
        <w:spacing w:lineRule="auto" w:line="259" w:before="0" w:after="24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do not control the operations of our suppliers. Accordingly, we cannot guarantee that our suppliers will comply with applicable environmental, labor, anti-corruption and other laws and regulations or operate in a legal, ethical, and responsible manner. Violation of environmental, labor, anti-corruption or other laws by our suppliers or their failure to operate in a legal, ethical, or responsible manner could reduce demand for our products if, as a result of such violation or failure, we attract negative publicity. Further, such conduct could expose us to legal risks as a result of the purchase of products from non-compliant suppliers. </w:t>
      </w:r>
    </w:p>
    <w:p>
      <w:pPr>
        <w:pStyle w:val="TextBody"/>
        <w:bidi w:val="0"/>
        <w:spacing w:lineRule="auto" w:line="259"/>
        <w:rPr>
          <w:rFonts w:ascii="Times New Roman;serif" w:hAnsi="Times New Roman;serif"/>
          <w:b/>
          <w:i/>
          <w:sz w:val="20"/>
        </w:rPr>
      </w:pPr>
      <w:r>
        <w:rPr>
          <w:rFonts w:ascii="Times New Roman;serif" w:hAnsi="Times New Roman;serif"/>
          <w:b/>
          <w:i/>
          <w:sz w:val="20"/>
        </w:rPr>
        <w:t>We are involved in legal proceedings from time to time and, while we cannot predict the outcomes of such proceedings and other contingencies with certainty, some of these outcomes could adversely affect our business, financial condition and results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involved in stockholder, consumer, employment, tort or other litigation from time to time. We cannot predict with certainty the outcomes of these legal proceedings. The outcome of some of these legal proceedings could require us to take, or refrain from taking, actions which could negatively affect our operations or could require us to pay substantial amounts of money, adversely affecting our financial condition and results of operations. Additionally, defending against lawsuits and proceedings may involve significant expense and diversion of management’s attention and resources.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Technology-Related Risks</w:t>
      </w:r>
    </w:p>
    <w:p>
      <w:pPr>
        <w:pStyle w:val="TextBody"/>
        <w:bidi w:val="0"/>
        <w:spacing w:lineRule="auto" w:line="259"/>
        <w:ind w:left="0" w:right="259" w:hanging="0"/>
        <w:rPr>
          <w:rFonts w:ascii="Times New Roman;serif" w:hAnsi="Times New Roman;serif"/>
          <w:b/>
          <w:i/>
          <w:sz w:val="20"/>
        </w:rPr>
      </w:pPr>
      <w:r>
        <w:rPr>
          <w:rFonts w:ascii="Times New Roman;serif" w:hAnsi="Times New Roman;serif"/>
          <w:b/>
          <w:i/>
          <w:sz w:val="20"/>
        </w:rPr>
        <w:t>Our business operations could be disrupted if we are unable to protect the integrity and security of our customer and other personal and/or confidential information.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Like all businesses, we face cybersecurity threats, as we are reliant upon information systems and the Internet to conduct our business activities. For example, in connection with payment card sales and other transactions, including bank cards, debit cards, credit cards and other merchant cards, we process and transmit confidential banking and payment card information. Additionally, as part of our normal business activities, we collect and store sensitive personal information related to our employees, customers, suppliers and other parties. Despite our security measures, our information technology and infrastructure, and that of third parties upon which we rely, may be vulnerable to criminal cyber-attacks or security incidents due to employee or service provider error, third-party action, including actions of foreign actors, which risk may be exacerbated by the current Russia-Ukraine and other geopolitical conflicts and U.S. and international response, insider attacks, phishing or denial-of-service attacks, the introduction of computer viruses and/or malicious or destructive code, ransomware or other malware, social engineering, malfeasance, other unauthorized physical or electronic access, or other vulnerabilities. Any such incidents could compromise our networks, or those of our vendors, or disrupt our or our vendors’ critical systems, and the information stored there, such as personally identifiable information or funds, could be accessed, publicly disclosed, lost, corrupted or stolen. Such incidents could also lead to widespread technology outages, interruptions or other failures of operational, communication or other systems globally and across companies and industries. Third parties may have the technology and know-how to breach the security of this information, and our security measures and those of our banks, merchant card processing and other technology suppliers may not effectively prohibit others from obtaining improper access to this information. The techniques used by criminals to obtain unauthorized access to sensitive data continue to evolve and become more sophisticated and often are not recognized until launched against a target; accordingly, we may be unable to anticipate these techniques or implement adequate preventative measures, and future cyber-attacks could go undetected and persist for an extended period of time. Furthermore, to the extent artificial intelligence capabilities continue to improve and are increasingly adopted, they may be used to identify vulnerabilities and craft increasingly sophisticated cybersecurity attacks, including the use of generative artificial intelligence to conduct more sophisticated social engineering attacks on the Company, suppliers or customers. In addition, vulnerabilities may be introduced from the use of artificial intelligence by us, our financial services providers and other vendors and third-party providers.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vendors and others to whom we entrust confidential data, and on whom we rely to provide products and services, face similar threats and growing requirements. While we perform cybersecurity due diligence on our key vendors and service providers, our ability to monitor their cybersecurity is limited. We cannot ensure the cybersecurity measures they take will be sufficient to protect any information we share with them or prevent any disruption arising from a technology failure, cyber-attack or other information or security breach.</w:t>
      </w:r>
      <w:r>
        <w:rPr>
          <w:rFonts w:ascii="Times New Roman;serif" w:hAnsi="Times New Roman;serif"/>
          <w:sz w:val="20"/>
        </w:rPr>
        <w:t xml:space="preserve"> </w:t>
      </w:r>
      <w:r>
        <w:rPr>
          <w:rFonts w:ascii="Times New Roman;serif" w:hAnsi="Times New Roman;serif"/>
          <w:b w:val="false"/>
          <w:i w:val="false"/>
          <w:caps w:val="false"/>
          <w:smallCaps w:val="false"/>
          <w:sz w:val="20"/>
        </w:rPr>
        <w:t>We depend on such parties to implement adequate controls and safeguards to protect against and report cyber incidents. If such parties fail to deter, detect or report cyber incidents in a timely manner, we may suffer from financial and other harm, including to our information, operations, performance, employees and reputation.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also incur costs in order to comply with cybersecurity or data privacy regulations or with requirements imposed by business partners. Data privacy and cybersecurity laws in the United States and internationally are constantly changing, and the implementation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these laws has become more complex. For instance, many states have enacted laws requiring companies to notify individuals of data security breaches involving their personal data. These mandatory disclosures regarding a security breach often lead to widespread negative publicity, which may cause our customers to lose confidence in the effectiveness of our data security measures. Any security breach, whether successful or not, would harm our reputation and could damage our competitive position and cause the loss of customers. In addition, any such breach, or any material failure on our part to comply with applicable laws, could subject us to litigation, government investigation or enforcement actions or other regulatory sanctions, regulatory penalties or fines, or costly response measures. Any such occurrence could have a material adverse effect on us. Furthermore, in order to comply with current or newly enacted laws, we may be subject to increased costs as a result of continually evaluating our policies and processes and adapting to new requirements that are or become applicable to us. In addition, the implementation of technology changes and upgrades to maintain current and integrate new systems incurs additional costs and may cause service interruptions or system conversion delays and may cause us to fail to comply with applicable laws, all of which could have a material adverse effect on our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While we carry cyber insurance, we cannot be certain that our coverage will be adequate for liabilities actually incurred, that insurance will continue to be available to us on economically reasonable terms, or at all, or that any insurer will not deny coverage as to any future claim.</w:t>
      </w:r>
    </w:p>
    <w:p>
      <w:pPr>
        <w:pStyle w:val="TextBody"/>
        <w:bidi w:val="0"/>
        <w:spacing w:lineRule="auto" w:line="259"/>
        <w:rPr>
          <w:rFonts w:ascii="Times New Roman;serif" w:hAnsi="Times New Roman;serif"/>
          <w:b/>
          <w:i/>
          <w:sz w:val="20"/>
        </w:rPr>
      </w:pPr>
      <w:r>
        <w:rPr>
          <w:rFonts w:ascii="Times New Roman;serif" w:hAnsi="Times New Roman;serif"/>
          <w:b/>
          <w:i/>
          <w:sz w:val="20"/>
        </w:rPr>
        <w:t>If our management information systems experience disruptions, it could disrupt our business and reduce our net sales.</w:t>
      </w:r>
    </w:p>
    <w:p>
      <w:pPr>
        <w:pStyle w:val="TextBody"/>
        <w:bidi w:val="0"/>
        <w:spacing w:lineRule="auto" w:line="259" w:before="0" w:after="240"/>
        <w:rPr>
          <w:rFonts w:ascii="Times New Roman;serif" w:hAnsi="Times New Roman;serif"/>
          <w:sz w:val="20"/>
        </w:rPr>
      </w:pPr>
      <w:r>
        <w:rPr>
          <w:rFonts w:ascii="Times New Roman;serif" w:hAnsi="Times New Roman;serif"/>
          <w:b w:val="false"/>
          <w:i w:val="false"/>
          <w:caps w:val="false"/>
          <w:smallCaps w:val="false"/>
          <w:sz w:val="20"/>
        </w:rPr>
        <w:t xml:space="preserve">We depend on our management information systems to integrate the activities of our stores, to process orders, to manage inventory, to purchase merchandise and to sell and ship goods on a timely basis. We may experience operational problems with our information systems, as well as loss of funds, intellectual property or other proprietary information, as a result of system failures, third-party service outages, viruses, computer </w:t>
      </w:r>
      <w:r>
        <w:rPr>
          <w:rFonts w:ascii="Times New Roman;serif" w:hAnsi="Times New Roman;serif"/>
          <w:caps w:val="false"/>
          <w:smallCaps w:val="false"/>
          <w:color w:val="000000"/>
          <w:sz w:val="20"/>
        </w:rPr>
        <w:t>“</w:t>
      </w:r>
      <w:r>
        <w:rPr>
          <w:rFonts w:ascii="Times New Roman;serif" w:hAnsi="Times New Roman;serif"/>
          <w:b w:val="false"/>
          <w:i w:val="false"/>
          <w:caps w:val="false"/>
          <w:smallCaps w:val="false"/>
          <w:sz w:val="20"/>
        </w:rPr>
        <w:t>hackers</w:t>
      </w:r>
      <w:r>
        <w:rPr>
          <w:rFonts w:ascii="Times New Roman;serif" w:hAnsi="Times New Roman;serif"/>
          <w:caps w:val="false"/>
          <w:smallCaps w:val="false"/>
          <w:color w:val="000000"/>
          <w:sz w:val="20"/>
        </w:rP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 other causes. We may incur significant expenses in order to repair any such operational problems and could suffer reputational damage. Any significant disruption or slowdown of our systems could cause information, including data related to customer orders, to be lost or delayed, which could result in delays in the delivery of products to our stores and customers or lost sales. Accordingly, if our network is disrupted, we may experience delayed communications within our operations and between our customers and ourselves. Any such occurrence could have a material adverse effect on us.</w:t>
      </w:r>
    </w:p>
    <w:p>
      <w:pPr>
        <w:pStyle w:val="TextBody"/>
        <w:bidi w:val="0"/>
        <w:spacing w:lineRule="auto" w:line="259"/>
        <w:rPr>
          <w:rFonts w:ascii="Times New Roman;serif" w:hAnsi="Times New Roman;serif"/>
          <w:b/>
          <w:i/>
          <w:sz w:val="20"/>
        </w:rPr>
      </w:pPr>
      <w:r>
        <w:rPr>
          <w:rFonts w:ascii="Times New Roman;serif" w:hAnsi="Times New Roman;serif"/>
          <w:b/>
          <w:i/>
          <w:sz w:val="20"/>
        </w:rPr>
        <w:t>The selection and implementation of information technology initiatives may impact our operational efficiency and productivity.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order to better manage our business, we have invested in, and expect to continue to invest in, our information systems. In doing so, we work to select the correct investments and implement them in an efficient manner, but may be unable to do so effectively or at all. The costs, potential problems and interruptions associated with implementing technology initiatives could disrupt or reduce the efficiency of our operations. For instance, we may experience occasional system interruptions and delays, as a result of routine maintenance, periodic updates, implementation of new technology or other factors, that make our information systems unavailable or slow to respond, including the interaction of our information systems with those of third parties. Furthermore, these initiatives might not provide the anticipated benefits or provide them in a delayed or unexpectedly costly manner. Accordingly, issues relating to our selection and implementation of information technology initiatives may negatively impact our business and operating results.</w:t>
      </w:r>
    </w:p>
    <w:p>
      <w:pPr>
        <w:pStyle w:val="TextBody"/>
        <w:bidi w:val="0"/>
        <w:spacing w:lineRule="auto" w:line="259"/>
        <w:rPr>
          <w:rFonts w:ascii="Times New Roman;serif" w:hAnsi="Times New Roman;serif"/>
          <w:sz w:val="20"/>
        </w:rPr>
      </w:pPr>
      <w:bookmarkStart w:id="12" w:name="_Hlk158037316"/>
      <w:bookmarkEnd w:id="12"/>
      <w:r>
        <w:rPr>
          <w:rFonts w:ascii="Times New Roman;serif" w:hAnsi="Times New Roman;serif"/>
          <w:b/>
          <w:i w:val="false"/>
          <w:caps w:val="false"/>
          <w:smallCaps w:val="false"/>
          <w:sz w:val="20"/>
        </w:rPr>
        <w:t>Risks Related to Ownership of Our Common Stock</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Our common stock is no longer listed on Nasdaq and we have terminated the registration of our common stock under Section 12(b) and 12(g) of the Exchange Act and suspended our reporting obligations under Section 15(d) of the Exchange Act, which may have an adverse effect on the liquidity of our common stock and the availability of information about the Company and our business and results of operations.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Following the Transaction, we voluntarily delisted our common stock from Nasdaq and terminated its registration under Sections 12(b) and 12(g) of the Exchange Act and suspended our duty to file reports thereunder. As a result:</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0"/>
        </w:rPr>
        <w:t>Except for filing this Annual Report on Form 10-K, we have ceased filing annual, quarterly, current, and other reports and documents with the SEC, and our stockholders will have significantly less information about us and our business, operations, and financial performance than they previously had. While we currently intend to make financial information available to our stockholders on a voluntary basis, there is no assurance that we will continue to do so in the future. We will continue to hold stockholder meetings as required under Delaware law, including annual meetings, but we will no longer have to comply with proxy solicitation rules and related disclosure requirements under the Exchange Act.</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0"/>
        </w:rPr>
        <w:t xml:space="preserve">The common stock is no longer listed on Nasdaq, which may have an adverse effect on the liquidity of our common stock. Effective December 29, 2025, our common stock is quoted on The OTC Markets Pink Limited (the “OTC”). Any trading in our common stock will only occur in privately negotiated sales and on the OTC, but only if one or more brokers choose to make a market for our common stock on the OTC and comply with applicable regulatory requirements. This may adversely affect the liquidity of our common stock, result in a significantly increased spread between the bid and asked prices of our common stock, and there is no guarantee that a broker will continue to make a market in our common stock or that trading of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common stock will continue on the OTC or otherwise. The price of our common stock may experience extensive volatility. Additionally, the overall price of our stock may be significantly reduced due to the potential that investors may view the investment as inherently riskier given the fact that publicly available information about us will be significantly more limited, as well as due to possible limited liquidity of our common stock.</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0"/>
        </w:rPr>
        <w:t>We are no longer be subject to the reporting requirements under the Exchange Act or other requirements applicable to a public company, including requirements under the Sarbanes-Oxley Act of 2022 and the listing standards of any national securities exchange.</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0"/>
        </w:rPr>
        <w:t>Our executive officers, directors, and 10% stockholders are no longer required to file reports relating to their transactions in our common stock with the SEC. In addition, our executive officers, directors, and 10% stockholders are no longer subject to the recovery of profits provision of the Exchange Act, and persons acquiring 5% of our common stock will no longer be required to report their beneficial ownership under the Exchange Act.</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0"/>
        </w:rPr>
        <w:t>We have no ability to access the public capital markets or to use public securities in attracting and retaining executives and other employees, and we will have a decreased ability to use stock to acquire other companies.</w:t>
      </w:r>
    </w:p>
    <w:p>
      <w:pPr>
        <w:pStyle w:val="TextBody"/>
        <w:bidi w:val="0"/>
        <w:spacing w:lineRule="auto" w:line="259" w:before="0" w:after="240"/>
        <w:rPr>
          <w:rFonts w:ascii="Times New Roman;serif" w:hAnsi="Times New Roman;serif"/>
          <w:sz w:val="20"/>
        </w:rPr>
      </w:pPr>
      <w:bookmarkStart w:id="13" w:name="_Hlk159919033"/>
      <w:bookmarkEnd w:id="13"/>
      <w:r>
        <w:rPr>
          <w:rFonts w:ascii="Times New Roman;serif" w:hAnsi="Times New Roman;serif"/>
          <w:b/>
          <w:i/>
          <w:color w:val="000000"/>
          <w:sz w:val="20"/>
        </w:rPr>
        <w:t>We currently do not pay quarterly dividends or have a stock repurchase program; as such, appreciation in the price of our common stock may be the only method to realize a return on your investment.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from time to time, paid special dividends and engaged in stock repurchases. Any future determination with respect to the payment of dividends or stock repurchases is at the discretion of our Board and is dependent upon our financial condition, results of operations, capital requirements, general business conditions, tax treatment of dividends and issuer stock repurchases in the United States, potential future contractual restrictions contained in credit agreements and other agreements and other factors deemed relevant by our Board of Directors. We can provide no assurance that we will pay any dividends to our stockholders in the future, or as to the amount of any such dividends, or that we will engage in stock repurchases. Our election not to pay a quarterly dividend or repurchase stock may negatively impact our reputation, our stock price, and investor confidence in us.</w:t>
      </w:r>
    </w:p>
    <w:p>
      <w:pPr>
        <w:pStyle w:val="TextBody"/>
        <w:bidi w:val="0"/>
        <w:spacing w:lineRule="auto" w:line="259"/>
        <w:rPr>
          <w:rFonts w:ascii="Times New Roman;serif" w:hAnsi="Times New Roman;serif"/>
          <w:b/>
          <w:i/>
          <w:sz w:val="20"/>
        </w:rPr>
      </w:pPr>
      <w:r>
        <w:rPr>
          <w:rFonts w:ascii="Times New Roman;serif" w:hAnsi="Times New Roman;serif"/>
          <w:b/>
          <w:i/>
          <w:sz w:val="20"/>
        </w:rPr>
        <w:t>Concentration of ownership may have the effect of delaying or preventing a change in control.</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directors and executive officers, together with their affiliates, beneficially hold approximately 73% of our outstanding shares of common stock. As a result, these stockholders, if acting together, have the ability to influence the outcome of corporate actions requiring stockholder approval. This concentration of ownership may have the effect of delaying or preventing a change in control and might adversely affect the market price of our securities.</w:t>
      </w:r>
    </w:p>
    <w:p>
      <w:pPr>
        <w:pStyle w:val="TextBody"/>
        <w:bidi w:val="0"/>
        <w:spacing w:lineRule="auto" w:line="259"/>
        <w:rPr>
          <w:rFonts w:ascii="Times New Roman;serif" w:hAnsi="Times New Roman;serif"/>
          <w:b/>
          <w:i/>
          <w:sz w:val="20"/>
        </w:rPr>
      </w:pPr>
      <w:r>
        <w:rPr>
          <w:rFonts w:ascii="Times New Roman;serif" w:hAnsi="Times New Roman;serif"/>
          <w:b/>
          <w:i/>
          <w:sz w:val="20"/>
        </w:rPr>
        <w:t>Anti-takeover provisions contained in our certificate of incorporation and bylaws and provisions of Delaware law could impair a takeover attempt.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certificate of incorporation and bylaws contain provisions that, alone or together, could have the effect of delaying or preventing hostile takeovers or changes in control or changes in our management without the consent of our Board of Directors. These provisions include, among other things, a classified Board of Directors; no cumulative voting in the election of directors; the exclusive right of our Board of Directors to fill a vacancy created by the expansion of the Board of Directors or the resignation, death, or removal of a director; the ability of our Board of Directors to issue shares of preferred stock, including determining the price, voting rights and other terms of such shares, without stockholder approval; requiring approval of certain transactions by the Independent Transaction Committee of the Board; a prohibition on stockholder action by written consent and providing that a special meeting of stockholders may be called only by the chairman of the Board of Directors, the Chief Executive Officer, or the Board of Directors; limiting the liability of, and providing indemnification to, our directors and officers; controlling the procedures for the conduct and scheduling of stockholder meetings; allowing the Board of Directors to postpone or reschedule special meetings of stockholders; providing that directors may be removed prior to the expiration of their terms by stockholders only for cause; and advance notice procedures for nominating director candidates or proposing matters to be acted upon at a stockholders’ meeting. In addition, we are subject to provisions of Delaware law that may impair takeover attempts, including Section 203 of the Delaware General Corporation Law, which generally provides that a corporation may not engage in any business combination with any interested stockholder during the three-year period following the time that such stockholder becomes an interested stockholder, unless certain approval requirements are met. 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sz w:val="20"/>
        </w:rPr>
      </w:pPr>
      <w:r>
        <w:rPr>
          <w:rFonts w:ascii="Times New Roman;serif" w:hAnsi="Times New Roman;serif"/>
          <w:b/>
          <w:i/>
          <w:sz w:val="20"/>
        </w:rPr>
        <w:t>Our certificate of incorporation provides that the Court of Chancery of the State of Delaware will be the exclusive forum for certain types of lawsuits, which could increase costs to bring a claim, discourage claims or limit the ability of our stockholders to bring a claim in a judicial forum viewed by the stockholders as more favorable for disputes with us or our directors, officers or other employees.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certificate of incorporation provides that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our certificate of incorporation or our bylaws, or (iv) any action asserting a claim governed by the internal affairs doctrine. The choice of forum provision may increase costs to bring a claim, discourage claims or</w:t>
      </w:r>
      <w:r>
        <w:rPr>
          <w:rFonts w:ascii="Times New Roman;serif" w:hAnsi="Times New Roman;serif"/>
          <w:sz w:val="20"/>
        </w:rPr>
        <w:t> </w:t>
      </w:r>
      <w:r>
        <w:rPr>
          <w:rFonts w:ascii="Times New Roman;serif" w:hAnsi="Times New Roman;serif"/>
          <w:b w:val="false"/>
          <w:i w:val="false"/>
          <w:caps w:val="false"/>
          <w:smallCaps w:val="false"/>
          <w:sz w:val="20"/>
        </w:rPr>
        <w:t xml:space="preserve">limit a stockholder’s ability to bring a claim in a judicial forum that it finds favorable for disputes with us or our directors, officers or other employees, which may discourage such lawsuits against us or our directors, officers and other employees. Alternatively, if a court were to find this choice of forum provision to be inapplicable or unenforceable in an action, we may incur additional costs associated with resolving such action in other jurisdictions. The exclusive forum provision in our certificate of incorporation will not preclude or contract the scope of exclusive federal or concurrent jurisdiction for actions brought under the federal securities laws including the Exchange Act or the Securities Act of 1933, as amended, or the respective rules and regulations promulgated thereunder.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1B. UNR</w:t>
      </w:r>
      <w:bookmarkStart w:id="14" w:name="Item_1B_UnresolvedStaffComments"/>
      <w:bookmarkEnd w:id="14"/>
      <w:r>
        <w:rPr>
          <w:rFonts w:ascii="Times New Roman;serif" w:hAnsi="Times New Roman;serif"/>
          <w:b/>
          <w:i w:val="false"/>
          <w:caps w:val="false"/>
          <w:smallCaps w:val="false"/>
          <w:sz w:val="20"/>
        </w:rPr>
        <w:t>ESOLVED STAFF COMMENTS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rFonts w:ascii="Times New Roman;serif" w:hAnsi="Times New Roman;serif"/>
          <w:b/>
          <w:i w:val="false"/>
          <w:caps w:val="false"/>
          <w:smallCaps w:val="false"/>
          <w:sz w:val="20"/>
        </w:rPr>
      </w:pPr>
      <w:bookmarkStart w:id="15" w:name="Item_1C_CyberSecurity"/>
      <w:bookmarkEnd w:id="15"/>
      <w:r>
        <w:rPr>
          <w:rFonts w:ascii="Times New Roman;serif" w:hAnsi="Times New Roman;serif"/>
          <w:b/>
          <w:i w:val="false"/>
          <w:caps w:val="false"/>
          <w:smallCaps w:val="false"/>
          <w:sz w:val="20"/>
        </w:rPr>
        <w:t>ITEM 1C. CYBERSECURITY</w:t>
      </w:r>
    </w:p>
    <w:p>
      <w:pPr>
        <w:pStyle w:val="TextBody"/>
        <w:bidi w:val="0"/>
        <w:spacing w:lineRule="auto" w:line="259" w:before="0" w:after="240"/>
        <w:rPr>
          <w:rFonts w:ascii="Times New Roman;serif" w:hAnsi="Times New Roman;serif"/>
          <w:b w:val="false"/>
          <w:i w:val="false"/>
          <w:caps w:val="false"/>
          <w:smallCaps w:val="false"/>
          <w:sz w:val="20"/>
        </w:rPr>
      </w:pPr>
      <w:bookmarkStart w:id="16" w:name="OLE_LINK2"/>
      <w:bookmarkEnd w:id="16"/>
      <w:r>
        <w:rPr>
          <w:rFonts w:ascii="Times New Roman;serif" w:hAnsi="Times New Roman;serif"/>
          <w:b w:val="false"/>
          <w:i w:val="false"/>
          <w:caps w:val="false"/>
          <w:smallCaps w:val="false"/>
          <w:sz w:val="20"/>
        </w:rPr>
        <w:t xml:space="preserve">Like all businesses, the Company faces cybersecurity threats, as the Company is reliant upon information systems and the Internet to conduct its business activities. For example, in connection with payment card sales and other transactions, including bank cards, debit cards, credit cards and other merchant cards, the Company processes and transmits confidential banking and payment card information. Additionally, as part of its normal business activities, the Company collects and stores sensitive personal information related to the Company’s employees, customers, suppliers and other parties. Businesses, including those in our industry, and third parties on which we rely are frequently confronted with a broad range of cybersecurity threats, from uncoordinated, individual attempts to gain unauthorized access to an organization’s information technology (“IT”) environment to sophisticated and targeted cyberattacks sponsored by foreign governments and criminal enterprises. </w:t>
      </w:r>
    </w:p>
    <w:p>
      <w:pPr>
        <w:pStyle w:val="TextBody"/>
        <w:bidi w:val="0"/>
        <w:spacing w:lineRule="auto" w:line="259" w:before="0" w:after="240"/>
        <w:rPr>
          <w:rFonts w:ascii="Times New Roman;serif" w:hAnsi="Times New Roman;serif"/>
          <w:sz w:val="20"/>
        </w:rPr>
      </w:pPr>
      <w:r>
        <w:rPr>
          <w:rFonts w:ascii="Times New Roman;serif" w:hAnsi="Times New Roman;serif"/>
          <w:b w:val="false"/>
          <w:i w:val="false"/>
          <w:caps w:val="false"/>
          <w:smallCaps w:val="false"/>
          <w:sz w:val="20"/>
        </w:rPr>
        <w:t xml:space="preserve">Although the Company employs measures to prevent, detect, address, and mitigate these threats, a cybersecurity incident could potentially result in the misappropriation, destruction, corruption, or unavailability of critical data, personally identifiable information, and other confidential or proprietary data (our own or that of third parties) and the disruption of business operations. </w:t>
      </w:r>
      <w:bookmarkStart w:id="17" w:name="OLE_LINK8"/>
      <w:bookmarkEnd w:id="17"/>
      <w:r>
        <w:rPr>
          <w:rFonts w:ascii="Times New Roman;serif" w:hAnsi="Times New Roman;serif"/>
          <w:b w:val="false"/>
          <w:i w:val="false"/>
          <w:caps w:val="false"/>
          <w:smallCaps w:val="false"/>
          <w:sz w:val="20"/>
        </w:rPr>
        <w:t>Any such incidents could compromise the Company’s networks, or those of our vendors, or disrupt the Company’s or our vendors’ critical systems, and the information stored there, such as personally identifiable information or funds, could be accessed, publicly disclosed, lost, corrupted or stolen. Third parties may have the technology and know-how to breach the security of this information, and the Company’s security measures and those of the Company’s banks, merchant card processing and other technology suppliers may not effectively prohibit others from obtaining improper access to this information. The techniques used by criminals to obtain unauthorized access to sensitive data change frequently and often are not recognized until launched against a target; accordingly, the Company may be unable to anticipate these techniques or implement adequate preventative measures.</w:t>
      </w:r>
      <w:r>
        <w:rPr>
          <w:rFonts w:ascii="Times New Roman;serif" w:hAnsi="Times New Roman;serif"/>
          <w:caps w:val="false"/>
          <w:smallCaps w:val="false"/>
          <w:sz w:val="20"/>
        </w:rPr>
        <w:t xml:space="preserve"> </w:t>
      </w:r>
    </w:p>
    <w:p>
      <w:pPr>
        <w:pStyle w:val="TextBody"/>
        <w:bidi w:val="0"/>
        <w:spacing w:lineRule="auto" w:line="259" w:before="0" w:after="24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potential consequences of a material cybersecurity incident include remediation and restoration costs, reputational damage, and litigation with third parties, which in turn could adversely affect our competitiveness and results of operations. Accordingly, cybersecurity is an important part of the Company’s enterprise risk management program, and the Company seeks to address cybersecurity risks through a comprehensive, cross-functional approach.</w:t>
      </w:r>
    </w:p>
    <w:p>
      <w:pPr>
        <w:pStyle w:val="TextBody"/>
        <w:bidi w:val="0"/>
        <w:spacing w:lineRule="auto" w:line="259" w:before="0" w:after="240"/>
        <w:rPr>
          <w:rFonts w:ascii="Times New Roman;serif" w:hAnsi="Times New Roman;serif"/>
          <w:sz w:val="20"/>
        </w:rPr>
      </w:pPr>
      <w:r>
        <w:rPr>
          <w:rFonts w:ascii="Times New Roman;serif" w:hAnsi="Times New Roman;serif"/>
          <w:b w:val="false"/>
          <w:i w:val="false"/>
          <w:caps w:val="false"/>
          <w:smallCaps w:val="false"/>
          <w:sz w:val="20"/>
        </w:rPr>
        <w:t>The Company’s cybersecurity policies, standards, processes, and practices for assessing, identifying, and managing</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material risks from cybersecurity threats and responding to cybersecurity incidents are integrated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into the Company’s risk management program and are based on recognized frameworks established by the National Institute of Standards and Technology and other applicable industry standards. The Company has established controls and procedures, including an Incident Response Plan, that provide for the identification, analysis, notification, escalation, communication, and remediation of data security incidents at appropriate levels so that decisions regarding the public disclosure and reporting of such incidents can be made by management in a timely manner. The Company has also established a process to validate the aforementioned controls are in place and the results are being reviewed as a part of the overall company risk assessment. The Company’s Incident Response Plan (i) is designed to identify and detect information security threats through various mechanisms, such as through security controls and third-party disclosures, and (ii) sets forth a process to (a) analyze any such threats detected within the Company’s IT environment or within a third-party’s IT environment, (b) contain cybersecurity threats under various circumstances, and (c) better ensure the Company can recover from cybersecurity incidents to a normal state of business operations. The Company has established and maintains other incident response and recovery plans that address the Company’s response to a cybersecurity incident.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before="0" w:after="24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cybersecurity insurance (subject to specified retentions or deductibles) related to a cybersecurity incident that addresses costs, losses, and expenses related to cybersecurity investigations, crisis management, notification processes and credit monitoring services, public relations, and legal advice. However, damages, fines and claims arising from such incidents may not be covered or may exceed the amount of any insurance available or may not be insurable.</w:t>
      </w:r>
    </w:p>
    <w:p>
      <w:pPr>
        <w:pStyle w:val="TextBody"/>
        <w:bidi w:val="0"/>
        <w:spacing w:lineRule="auto" w:line="259" w:before="0" w:after="24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part of its cybersecurity program, the Company deploys measures to deter, prevent, detect, respond to and mitigate cybersecurity threats, including firewalls, anti-malware, extended detection and response systems, identity and access controls, strong password controls, multi-factor authentication, software patching protocols, and physical security measures. The Company periodically assesses and tests the Company’s policies, standards, processes, and practices that are designed to address cybersecurity (including artificial intelligence-related) threats and incidents, including by assessing current threat intelligence, conducting tabletop exercises, vulnerability scanning, and performing external penetration testing. The Company has a process to report material results of such testing and assessments to the Board, and periodically adjusts the Company’s cybersecurity program based on these exercises. The Company engages third parties to oversee and conduct part of such testing, as well as perform external audits of security protocols and capabilities. The Company seeks to identify and oversee cybersecurity risks presented by third parties and their systems from a risk-based perspective by identifying critical vendors (defined based on capabilities provided and investments required) and reviewing software patching, upgrades and associated changes required to reduce risk. The Company also conducts cybersecurity training for employees, including mandatory training programs for system users. The Company’s training programs require employees to complete a knowledge check prior to completion of the program. Completion of the Company’s training programs is monitored by management. </w:t>
      </w:r>
    </w:p>
    <w:p>
      <w:pPr>
        <w:pStyle w:val="TextBody"/>
        <w:bidi w:val="0"/>
        <w:spacing w:lineRule="auto" w:line="259" w:before="0" w:after="240"/>
        <w:rPr>
          <w:rFonts w:ascii="Times New Roman;serif" w:hAnsi="Times New Roman;serif"/>
          <w:sz w:val="20"/>
        </w:rPr>
      </w:pPr>
      <w:r>
        <w:rPr>
          <w:rFonts w:ascii="Times New Roman;serif" w:hAnsi="Times New Roman;serif"/>
          <w:b w:val="false"/>
          <w:i w:val="false"/>
          <w:caps w:val="false"/>
          <w:smallCaps w:val="false"/>
          <w:sz w:val="20"/>
        </w:rPr>
        <w:t xml:space="preserve">Many of the Company’s IT </w:t>
      </w:r>
      <w:bookmarkStart w:id="18" w:name="OLE_LINK4"/>
      <w:bookmarkEnd w:id="18"/>
      <w:r>
        <w:rPr>
          <w:rFonts w:ascii="Times New Roman;serif" w:hAnsi="Times New Roman;serif"/>
          <w:b w:val="false"/>
          <w:i w:val="false"/>
          <w:caps w:val="false"/>
          <w:smallCaps w:val="false"/>
          <w:sz w:val="20"/>
        </w:rPr>
        <w:t xml:space="preserve">systems operate with a hosted architecture or by third-party service providers, and if these third-party IT environments fail to operate properly, our systems could stop functioning for a period of time, which could put our users at risk. Accordingly, we are dependent on the operations of IT service providers. Our vendor management process, which includes due diligence steps prior to selecting third party service providers, is an important part of our risk mitigation strategy. In particular, we require ISO and other security compliance for all critical vendors by contract. Additionally, the Company monitors risks from cybersecurity threats associated with the user of third-party service providers and will audit critical vendors for compliance, as appropriate. Notwithstanding, if there is a catastrophic event, such as a natural disaster or other adverse weather condition, terrorist attack, security breach, or other extraordinary event, the Company, and our service providers, may be unable to operate business as usual, or at all, for the duration of the event and/or a time thereafter. </w:t>
      </w:r>
    </w:p>
    <w:p>
      <w:pPr>
        <w:pStyle w:val="TextBody"/>
        <w:bidi w:val="0"/>
        <w:spacing w:lineRule="auto" w:line="259" w:before="0" w:after="240"/>
        <w:rPr>
          <w:rFonts w:ascii="Times New Roman;serif" w:hAnsi="Times New Roman;serif"/>
          <w:sz w:val="20"/>
        </w:rPr>
      </w:pPr>
      <w:bookmarkStart w:id="19" w:name="_Hlk157941098"/>
      <w:bookmarkEnd w:id="19"/>
      <w:r>
        <w:rPr>
          <w:rFonts w:ascii="Times New Roman;serif" w:hAnsi="Times New Roman;serif"/>
          <w:b w:val="false"/>
          <w:i w:val="false"/>
          <w:caps w:val="false"/>
          <w:smallCaps w:val="false"/>
          <w:sz w:val="20"/>
        </w:rPr>
        <w:t>Considering the pervasive and increasing threat from cyberattacks, the Board and the Audit Committee, with input from management, assess the Company’s cybersecurity threats and the measures implemented by the Company in an effort to mitigate and prevent cyberattacks. The Audit Committee consults with management regarding ongoing cybersecurity initiatives and requests management report to the Audit Committee or the full Board regularly on their assessment of the Company’s cybersecurity program and risks, including artificial intelligence.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Both the Audit Committee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the full Board receive quarterly reports from the Chief Information Officer on cybersecurity risks and timely reports regarding any cybersecurity incident that meets established reporting thresholds, as well as ongoing updates regarding any such incident until it has been addressed</w:t>
      </w:r>
      <w:bookmarkStart w:id="20" w:name="OLE_LINK5"/>
      <w:bookmarkEnd w:id="20"/>
      <w:r>
        <w:rPr>
          <w:rFonts w:ascii="Times New Roman;serif" w:hAnsi="Times New Roman;serif"/>
          <w:b w:val="false"/>
          <w:i w:val="false"/>
          <w:caps w:val="false"/>
          <w:smallCaps w:val="false"/>
          <w:sz w:val="20"/>
        </w:rPr>
        <w:t>.</w:t>
      </w:r>
      <w:r>
        <w:rPr>
          <w:rFonts w:ascii="Times New Roman;serif" w:hAnsi="Times New Roman;serif"/>
          <w:caps w:val="false"/>
          <w:smallCaps w:val="false"/>
          <w:sz w:val="20"/>
        </w:rPr>
        <w:t xml:space="preserve"> </w:t>
      </w:r>
    </w:p>
    <w:p>
      <w:pPr>
        <w:pStyle w:val="TextBody"/>
        <w:bidi w:val="0"/>
        <w:spacing w:lineRule="auto" w:line="259" w:before="0" w:after="240"/>
        <w:rPr>
          <w:rFonts w:ascii="Times New Roman;serif" w:hAnsi="Times New Roman;serif"/>
          <w:sz w:val="20"/>
        </w:rPr>
      </w:pPr>
      <w:r>
        <w:rPr>
          <w:rFonts w:ascii="Times New Roman;serif" w:hAnsi="Times New Roman;serif"/>
          <w:b w:val="false"/>
          <w:i w:val="false"/>
          <w:caps w:val="false"/>
          <w:smallCaps w:val="false"/>
          <w:sz w:val="20"/>
        </w:rPr>
        <w:t>In addition, the Company’s information security/cybersecurity program is managed by the Manager of Infrastructure and Security, who is responsible for leading enterprise-wide cybersecurity strategy, policy, standards, architecture, and processes. The Manager of Infrastructure and Security and Chief Information Officer provide periodic reports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to our Board and Audit Committee as well as our Chief Executive Officer and other members of our senior management as appropriate. We have also established cross-functional teams to collaborate and communicate on cybersecurity-related issues. The reports to management include updates on the Company’s cyber risks and threats, the status of projects to strengthen our information security systems, assessments of the information security program, and the emerging threat landscape. The Incident Response Team, which includes the Chief Information Officer, Manager of Infrastructure and Security, Chief Financial Officer and key operational leaders, is regularly engaged to discuss cybersecurity risks and to review the Company’s preparations for any security events. The Incident Response Team will notify the Board of Directors of any critical events as defined in the Incident Response Plan. Additionally, the Chief Information Officer regularly engages the Board representative with cybersecurity experience to identify Board-level needs for education and communication. </w:t>
      </w:r>
    </w:p>
    <w:p>
      <w:pPr>
        <w:pStyle w:val="TextBody"/>
        <w:bidi w:val="0"/>
        <w:spacing w:lineRule="auto" w:line="259" w:before="0" w:after="240"/>
        <w:rPr>
          <w:rFonts w:ascii="Times New Roman;serif" w:hAnsi="Times New Roman;serif"/>
          <w:sz w:val="20"/>
        </w:rPr>
      </w:pPr>
      <w:r>
        <w:rPr>
          <w:rFonts w:ascii="Times New Roman;serif" w:hAnsi="Times New Roman;serif"/>
          <w:b w:val="false"/>
          <w:i w:val="false"/>
          <w:caps w:val="false"/>
          <w:smallCaps w:val="false"/>
          <w:sz w:val="20"/>
        </w:rPr>
        <w:t xml:space="preserve">The Chief Information Officer holds an undergraduate degree in computer science and has served in various roles in information technology for over 30 years, including serving as a senior technology leader or Chief Information Officer of two public companies and two private equity-owned firms. </w:t>
      </w:r>
      <w:r>
        <w:rPr>
          <w:rFonts w:ascii="Times New Roman;serif" w:hAnsi="Times New Roman;serif"/>
          <w:b w:val="false"/>
          <w:i w:val="false"/>
          <w:caps w:val="false"/>
          <w:smallCaps w:val="false"/>
          <w:color w:val="000000"/>
          <w:sz w:val="20"/>
        </w:rPr>
        <w:t>The Chief Information Officer has prior experience supporting organizations that have experienced cybersecurity events and continues to learn more about the current trends and risks by partnering with third parties.</w:t>
      </w:r>
      <w:r>
        <w:rPr>
          <w:rFonts w:ascii="Times New Roman;serif" w:hAnsi="Times New Roman;serif"/>
          <w:caps w:val="false"/>
          <w:smallCaps w:val="false"/>
          <w:color w:val="000000"/>
          <w:sz w:val="20"/>
        </w:rPr>
        <w:t xml:space="preserve"> </w:t>
      </w:r>
    </w:p>
    <w:p>
      <w:pPr>
        <w:pStyle w:val="TextBody"/>
        <w:bidi w:val="0"/>
        <w:spacing w:lineRule="auto" w:line="259" w:before="0" w:after="240"/>
        <w:rPr>
          <w:rFonts w:ascii="Times New Roman;serif" w:hAnsi="Times New Roman;serif"/>
          <w:sz w:val="20"/>
        </w:rPr>
      </w:pPr>
      <w:r>
        <w:rPr>
          <w:rFonts w:ascii="Times New Roman;serif" w:hAnsi="Times New Roman;serif"/>
          <w:b w:val="false"/>
          <w:i w:val="false"/>
          <w:caps w:val="false"/>
          <w:smallCaps w:val="false"/>
          <w:sz w:val="20"/>
        </w:rPr>
        <w:t>While the Company faces a number of cybersecurity risks in connection with its business, as of the date of this report, the Company is not aware of any risks from cybersecurity threats that have materially affected or are reasonably likely to materially affect the Company, including its business strategy, results of operations, or financial condition. However, there can be no assurance that the Company, or its third-party service providers, will not experience a cybersecurity threat or incident in the future that could materially adversely affect the Company, including its business strategy, results of operations, or financial condition. For further discussion of the risks related to cybersecurity, see the risk factors discussed under Item 1A. “Risk Factors” in this report.</w:t>
      </w:r>
      <w:r>
        <w:rPr>
          <w:rFonts w:ascii="Times New Roman;serif" w:hAnsi="Times New Roman;serif"/>
          <w:caps w:val="false"/>
          <w:smallCaps w:val="false"/>
          <w:sz w:val="20"/>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2. PR</w:t>
      </w:r>
      <w:bookmarkStart w:id="21" w:name="Item_2_Properties"/>
      <w:bookmarkEnd w:id="21"/>
      <w:r>
        <w:rPr>
          <w:rFonts w:ascii="Times New Roman;serif" w:hAnsi="Times New Roman;serif"/>
          <w:b/>
          <w:i w:val="false"/>
          <w:caps w:val="false"/>
          <w:smallCaps w:val="false"/>
          <w:sz w:val="20"/>
        </w:rPr>
        <w:t>OPERTIES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2025, we operated 140 stores located in 31 states and the District of Columbia with an average square footage of approximately 20,000 square feet. The table below sets forth the store locations (alphabetically by state) of our 140 stores in operation as of December 31, 2025.</w:t>
      </w:r>
    </w:p>
    <w:tbl>
      <w:tblPr>
        <w:tblW w:w="8675" w:type="dxa"/>
        <w:jc w:val="left"/>
        <w:tblInd w:w="0" w:type="dxa"/>
        <w:tblLayout w:type="fixed"/>
        <w:tblCellMar>
          <w:top w:w="0" w:type="dxa"/>
          <w:left w:w="0" w:type="dxa"/>
          <w:bottom w:w="0" w:type="dxa"/>
          <w:right w:w="0" w:type="dxa"/>
        </w:tblCellMar>
      </w:tblPr>
      <w:tblGrid>
        <w:gridCol w:w="1786"/>
        <w:gridCol w:w="646"/>
        <w:gridCol w:w="109"/>
        <w:gridCol w:w="1276"/>
        <w:gridCol w:w="646"/>
        <w:gridCol w:w="109"/>
        <w:gridCol w:w="1321"/>
        <w:gridCol w:w="646"/>
        <w:gridCol w:w="109"/>
        <w:gridCol w:w="1336"/>
        <w:gridCol w:w="691"/>
      </w:tblGrid>
      <w:tr>
        <w:trPr/>
        <w:tc>
          <w:tcPr>
            <w:tcW w:w="178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78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w:t>
            </w:r>
          </w:p>
        </w:tc>
        <w:tc>
          <w:tcPr>
            <w:tcW w:w="64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Stores </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w:t>
            </w:r>
          </w:p>
        </w:tc>
        <w:tc>
          <w:tcPr>
            <w:tcW w:w="64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Stores </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w:t>
            </w:r>
          </w:p>
        </w:tc>
        <w:tc>
          <w:tcPr>
            <w:tcW w:w="64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Stores </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w:t>
            </w:r>
          </w:p>
        </w:tc>
        <w:tc>
          <w:tcPr>
            <w:tcW w:w="69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Stores </w:t>
            </w:r>
          </w:p>
        </w:tc>
      </w:tr>
      <w:tr>
        <w:trPr/>
        <w:tc>
          <w:tcPr>
            <w:tcW w:w="178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Arizona</w:t>
            </w:r>
          </w:p>
        </w:tc>
        <w:tc>
          <w:tcPr>
            <w:tcW w:w="64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Illinois</w:t>
            </w:r>
          </w:p>
        </w:tc>
        <w:tc>
          <w:tcPr>
            <w:tcW w:w="64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Minnesota</w:t>
            </w:r>
          </w:p>
        </w:tc>
        <w:tc>
          <w:tcPr>
            <w:tcW w:w="64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Oklahoma</w:t>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r>
      <w:tr>
        <w:trPr/>
        <w:tc>
          <w:tcPr>
            <w:tcW w:w="1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Arkansas</w:t>
            </w:r>
          </w:p>
        </w:tc>
        <w:tc>
          <w:tcPr>
            <w:tcW w:w="6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Indiana</w:t>
            </w:r>
          </w:p>
        </w:tc>
        <w:tc>
          <w:tcPr>
            <w:tcW w:w="6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Missouri</w:t>
            </w:r>
          </w:p>
        </w:tc>
        <w:tc>
          <w:tcPr>
            <w:tcW w:w="6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Pennsylvania</w:t>
            </w:r>
          </w:p>
        </w:tc>
        <w:tc>
          <w:tcPr>
            <w:tcW w:w="69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r>
      <w:tr>
        <w:trPr/>
        <w:tc>
          <w:tcPr>
            <w:tcW w:w="1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Colorado</w:t>
            </w:r>
          </w:p>
        </w:tc>
        <w:tc>
          <w:tcPr>
            <w:tcW w:w="6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Iowa</w:t>
            </w:r>
          </w:p>
        </w:tc>
        <w:tc>
          <w:tcPr>
            <w:tcW w:w="6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Nebraska</w:t>
            </w:r>
          </w:p>
        </w:tc>
        <w:tc>
          <w:tcPr>
            <w:tcW w:w="6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Rhode Island</w:t>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1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Connecticut</w:t>
            </w:r>
          </w:p>
        </w:tc>
        <w:tc>
          <w:tcPr>
            <w:tcW w:w="6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Kansas</w:t>
            </w:r>
          </w:p>
        </w:tc>
        <w:tc>
          <w:tcPr>
            <w:tcW w:w="6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Jersey</w:t>
            </w:r>
          </w:p>
        </w:tc>
        <w:tc>
          <w:tcPr>
            <w:tcW w:w="6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South Carolina</w:t>
            </w:r>
          </w:p>
        </w:tc>
        <w:tc>
          <w:tcPr>
            <w:tcW w:w="69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r>
      <w:tr>
        <w:trPr/>
        <w:tc>
          <w:tcPr>
            <w:tcW w:w="1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Delaware</w:t>
            </w:r>
          </w:p>
        </w:tc>
        <w:tc>
          <w:tcPr>
            <w:tcW w:w="6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Kentucky</w:t>
            </w:r>
          </w:p>
        </w:tc>
        <w:tc>
          <w:tcPr>
            <w:tcW w:w="6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Mexico</w:t>
            </w:r>
          </w:p>
        </w:tc>
        <w:tc>
          <w:tcPr>
            <w:tcW w:w="6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Tennessee</w:t>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1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District of Columbia</w:t>
            </w:r>
          </w:p>
        </w:tc>
        <w:tc>
          <w:tcPr>
            <w:tcW w:w="6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Maryland</w:t>
            </w:r>
          </w:p>
        </w:tc>
        <w:tc>
          <w:tcPr>
            <w:tcW w:w="6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York</w:t>
            </w:r>
          </w:p>
        </w:tc>
        <w:tc>
          <w:tcPr>
            <w:tcW w:w="6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Texas</w:t>
            </w:r>
          </w:p>
        </w:tc>
        <w:tc>
          <w:tcPr>
            <w:tcW w:w="69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tc>
      </w:tr>
      <w:tr>
        <w:trPr/>
        <w:tc>
          <w:tcPr>
            <w:tcW w:w="1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Florida</w:t>
            </w:r>
          </w:p>
        </w:tc>
        <w:tc>
          <w:tcPr>
            <w:tcW w:w="6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Massachusetts</w:t>
            </w:r>
          </w:p>
        </w:tc>
        <w:tc>
          <w:tcPr>
            <w:tcW w:w="6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North Carolina</w:t>
            </w:r>
          </w:p>
        </w:tc>
        <w:tc>
          <w:tcPr>
            <w:tcW w:w="6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Virginia</w:t>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1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Georgia</w:t>
            </w:r>
          </w:p>
        </w:tc>
        <w:tc>
          <w:tcPr>
            <w:tcW w:w="6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Michigan</w:t>
            </w:r>
          </w:p>
        </w:tc>
        <w:tc>
          <w:tcPr>
            <w:tcW w:w="6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Ohio</w:t>
            </w:r>
          </w:p>
        </w:tc>
        <w:tc>
          <w:tcPr>
            <w:tcW w:w="6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Wisconsin</w:t>
            </w:r>
          </w:p>
        </w:tc>
        <w:tc>
          <w:tcPr>
            <w:tcW w:w="691"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178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69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lease all of our stores. Our approximately 15,000 square foot headquarters in Plymouth, Minnesota is attached to our store. We own three regional facilities used for distribution of purchased product and manufacturing of setting and maintenance materials, located in Ottawa Lake, Michigan; Ridgeway, Virginia; and Durant, Oklahoma, which consist of 271,000, 134,000, and 260,000 square feet, respectively. We lease an additional 100,000 square feet of warehouse space near our Ridgeway, Virginia distribution center.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response to the challenges faced in our industry and continued pressure on our topline results, during 2024, we took steps to close our distribution center located in Dayton, New Jersey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that is 163,000 square feet, and have entered into two sublease agreements for this space.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Our lease of the distribution space in Dayton, New Jersey expires in September 2026. In addition, during 2025, we closed, and in February 2026, we sold, our former distribution center in Spring Valley, Wisconsin that was 69,000 square feet.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that our material property holdings are suitable for our current operations and purposes.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3. LEGA</w:t>
      </w:r>
      <w:bookmarkStart w:id="22" w:name="Item_3_LegalProceedings"/>
      <w:bookmarkEnd w:id="22"/>
      <w:r>
        <w:rPr>
          <w:rFonts w:ascii="Times New Roman;serif" w:hAnsi="Times New Roman;serif"/>
          <w:b/>
          <w:i w:val="false"/>
          <w:caps w:val="false"/>
          <w:smallCaps w:val="false"/>
          <w:sz w:val="20"/>
        </w:rPr>
        <w:t>L PROCEEDINGS</w:t>
      </w:r>
    </w:p>
    <w:p>
      <w:pPr>
        <w:pStyle w:val="TextBody"/>
        <w:bidi w:val="0"/>
        <w:spacing w:lineRule="auto" w:line="259"/>
        <w:ind w:left="0" w:right="144"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 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pStyle w:val="TextBody"/>
        <w:bidi w:val="0"/>
        <w:spacing w:lineRule="auto" w:line="259"/>
        <w:jc w:val="both"/>
        <w:rPr>
          <w:rFonts w:ascii="Times New Roman;serif" w:hAnsi="Times New Roman;serif"/>
          <w:sz w:val="20"/>
        </w:rPr>
      </w:pPr>
      <w:r>
        <w:rPr>
          <w:rFonts w:ascii="Times New Roman;serif" w:hAnsi="Times New Roman;serif"/>
          <w:b/>
          <w:i w:val="false"/>
          <w:caps w:val="false"/>
          <w:smallCaps w:val="false"/>
          <w:sz w:val="20"/>
        </w:rPr>
        <w:t>ITEM 4. M</w:t>
      </w:r>
      <w:bookmarkStart w:id="23" w:name="Item_4_MineSafetyDisclosures"/>
      <w:bookmarkEnd w:id="23"/>
      <w:r>
        <w:rPr>
          <w:rFonts w:ascii="Times New Roman;serif" w:hAnsi="Times New Roman;serif"/>
          <w:b/>
          <w:i w:val="false"/>
          <w:caps w:val="false"/>
          <w:smallCaps w:val="false"/>
          <w:sz w:val="20"/>
        </w:rPr>
        <w:t>INE SAFETY DISCLOSURES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II</w:t>
      </w:r>
    </w:p>
    <w:p>
      <w:pPr>
        <w:pStyle w:val="TextBody"/>
        <w:bidi w:val="0"/>
        <w:spacing w:lineRule="auto" w:line="259"/>
        <w:ind w:left="0" w:right="389" w:hanging="0"/>
        <w:rPr>
          <w:rFonts w:ascii="Times New Roman;serif" w:hAnsi="Times New Roman;serif"/>
          <w:sz w:val="20"/>
        </w:rPr>
      </w:pPr>
      <w:r>
        <w:rPr>
          <w:rFonts w:ascii="Times New Roman;serif" w:hAnsi="Times New Roman;serif"/>
          <w:b/>
          <w:i w:val="false"/>
          <w:caps w:val="false"/>
          <w:smallCaps w:val="false"/>
          <w:sz w:val="20"/>
        </w:rPr>
        <w:t>ITEM 5</w:t>
      </w:r>
      <w:r>
        <w:rPr>
          <w:rFonts w:ascii="Times New Roman;serif" w:hAnsi="Times New Roman;serif"/>
          <w:b w:val="false"/>
          <w:i w:val="false"/>
          <w:caps w:val="false"/>
          <w:smallCaps w:val="false"/>
          <w:sz w:val="20"/>
        </w:rPr>
        <w:t xml:space="preserve">. </w:t>
      </w:r>
      <w:r>
        <w:rPr>
          <w:rFonts w:ascii="Times New Roman;serif" w:hAnsi="Times New Roman;serif"/>
          <w:b/>
          <w:i w:val="false"/>
          <w:caps w:val="false"/>
          <w:smallCaps w:val="false"/>
          <w:sz w:val="20"/>
        </w:rPr>
        <w:t>MARKET FOR TH</w:t>
      </w:r>
      <w:bookmarkStart w:id="24" w:name="Item_5_MarketForTheRegistrantsCommon"/>
      <w:bookmarkEnd w:id="24"/>
      <w:r>
        <w:rPr>
          <w:rFonts w:ascii="Times New Roman;serif" w:hAnsi="Times New Roman;serif"/>
          <w:b/>
          <w:i w:val="false"/>
          <w:caps w:val="false"/>
          <w:smallCaps w:val="false"/>
          <w:sz w:val="20"/>
        </w:rPr>
        <w:t>E REGISTRANT'S COMMON EQUITY, RELATED STOCKHOLDER MATTERS AND ISSUER PURCHASES OF EQUITY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common stock previously traded on Nasdaq under the symbol “TTSH” through December 26, 2025. Beginning December 29, 2025, our common stock has been quoted on the OTC under the symbol “TTSH”; as such, there is currently no established trading market for our common stock. Between December 29, 2025 and December 31, 2025, the highest bid price of our common stock was $3.65, and the lowest bid price of our common stock was $2.96. Any over-the-counter market quotations reflect inter-dealer prices, without retail mark-up, mark-down or commission and may not necessarily represent actual transactions or the value of our securities. </w:t>
      </w:r>
    </w:p>
    <w:p>
      <w:pPr>
        <w:pStyle w:val="TextBody"/>
        <w:bidi w:val="0"/>
        <w:spacing w:lineRule="auto" w:line="259"/>
        <w:rPr>
          <w:rFonts w:ascii="Times New Roman;serif" w:hAnsi="Times New Roman;serif"/>
          <w:b w:val="false"/>
          <w:i w:val="false"/>
          <w:caps w:val="false"/>
          <w:smallCaps w:val="false"/>
          <w:sz w:val="20"/>
        </w:rPr>
      </w:pPr>
      <w:bookmarkStart w:id="25" w:name="_Hlk128411849"/>
      <w:bookmarkEnd w:id="25"/>
      <w:r>
        <w:rPr>
          <w:rFonts w:ascii="Times New Roman;serif" w:hAnsi="Times New Roman;serif"/>
          <w:b w:val="false"/>
          <w:i w:val="false"/>
          <w:caps w:val="false"/>
          <w:smallCaps w:val="false"/>
          <w:sz w:val="20"/>
        </w:rPr>
        <w:t>As of February 23, 2026, we had approximately 36 holders of record of our common stock. This figure does not include the number of persons whose securities are held in nominee or “street” name accounts through brokers.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February 23, 2026, we had 39,821,741 shares of common stock outstanding.</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Dividends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Any future determination with respect to the payment of dividends is at the discretion of our Board of Directors and is dependent upon our financial condition, results of operations, capital requirements, general business conditions, tax treatment of dividends in the United States, contractual restrictions contained in our credit agreement and other factors deemed relevant by our Board of Directors. We can provide no assurance that we will pay any dividends to our stockholders in the future, or as to the amount of any such dividends.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Recent Sales of Unregistered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None. </w:t>
      </w:r>
    </w:p>
    <w:p>
      <w:pPr>
        <w:pStyle w:val="TextBody"/>
        <w:bidi w:val="0"/>
        <w:spacing w:lineRule="auto" w:line="259"/>
        <w:rPr>
          <w:rFonts w:ascii="Times New Roman;serif" w:hAnsi="Times New Roman;serif"/>
          <w:b/>
          <w:i w:val="false"/>
          <w:caps w:val="false"/>
          <w:smallCaps w:val="false"/>
          <w:sz w:val="20"/>
        </w:rPr>
      </w:pPr>
      <w:bookmarkStart w:id="26" w:name="_Hlk125975100"/>
      <w:bookmarkEnd w:id="26"/>
      <w:r>
        <w:rPr>
          <w:rFonts w:ascii="Times New Roman;serif" w:hAnsi="Times New Roman;serif"/>
          <w:b/>
          <w:i w:val="false"/>
          <w:caps w:val="false"/>
          <w:smallCaps w:val="false"/>
          <w:sz w:val="20"/>
        </w:rPr>
        <w:t>Issuer Purchases of Equity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 result of the Reverse Stock Split, the Cashed-Out Stockholders received $6.60, without interest, in cash for each whole share of common stock held by such stockholder at the effective time of the Reverse Stock Split, and such stockholder was no longer a stockholder of the Company. The Company paid an aggregate of approximately $32.2 million for 4,875,290 shares of our common stock in connection with the Reverse Stock Split.</w:t>
      </w:r>
    </w:p>
    <w:tbl>
      <w:tblPr>
        <w:tblW w:w="10205" w:type="dxa"/>
        <w:jc w:val="left"/>
        <w:tblInd w:w="0" w:type="dxa"/>
        <w:tblLayout w:type="fixed"/>
        <w:tblCellMar>
          <w:top w:w="0" w:type="dxa"/>
          <w:left w:w="0" w:type="dxa"/>
          <w:bottom w:w="0" w:type="dxa"/>
          <w:right w:w="0" w:type="dxa"/>
        </w:tblCellMar>
      </w:tblPr>
      <w:tblGrid>
        <w:gridCol w:w="1661"/>
        <w:gridCol w:w="109"/>
        <w:gridCol w:w="1486"/>
        <w:gridCol w:w="271"/>
        <w:gridCol w:w="339"/>
        <w:gridCol w:w="866"/>
        <w:gridCol w:w="271"/>
        <w:gridCol w:w="2550"/>
        <w:gridCol w:w="109"/>
        <w:gridCol w:w="2543"/>
      </w:tblGrid>
      <w:tr>
        <w:trPr/>
        <w:tc>
          <w:tcPr>
            <w:tcW w:w="1661" w:type="dxa"/>
            <w:tcBorders/>
            <w:vAlign w:val="center"/>
          </w:tcPr>
          <w:p>
            <w:pPr>
              <w:pStyle w:val="TableContents"/>
              <w:bidi w:val="0"/>
              <w:spacing w:before="0" w:after="283"/>
              <w:jc w:val="left"/>
              <w:rPr>
                <w:sz w:val="4"/>
                <w:szCs w:val="4"/>
              </w:rPr>
            </w:pPr>
            <w:r>
              <w:rPr>
                <w:sz w:val="4"/>
                <w:szCs w:val="4"/>
              </w:rPr>
            </w:r>
            <w:bookmarkStart w:id="27" w:name="_Hlk189650074"/>
            <w:bookmarkStart w:id="28" w:name="_Hlk189650074"/>
            <w:bookmarkEnd w:id="28"/>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1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166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Period</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Number of Shares Purchased</w:t>
            </w:r>
          </w:p>
        </w:tc>
        <w:tc>
          <w:tcPr>
            <w:tcW w:w="271" w:type="dxa"/>
            <w:tcBorders/>
            <w:vAlign w:val="center"/>
          </w:tcPr>
          <w:p>
            <w:pPr>
              <w:pStyle w:val="TableContents"/>
              <w:bidi w:val="0"/>
              <w:spacing w:before="0" w:after="283"/>
              <w:jc w:val="left"/>
              <w:rPr>
                <w:sz w:val="4"/>
                <w:szCs w:val="4"/>
              </w:rPr>
            </w:pPr>
            <w:r>
              <w:rPr>
                <w:sz w:val="4"/>
                <w:szCs w:val="4"/>
              </w:rPr>
            </w:r>
          </w:p>
        </w:tc>
        <w:tc>
          <w:tcPr>
            <w:tcW w:w="1205"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Average Price Paid per Share</w:t>
            </w:r>
          </w:p>
        </w:tc>
        <w:tc>
          <w:tcPr>
            <w:tcW w:w="271" w:type="dxa"/>
            <w:tcBorders/>
            <w:vAlign w:val="center"/>
          </w:tcPr>
          <w:p>
            <w:pPr>
              <w:pStyle w:val="TableContents"/>
              <w:bidi w:val="0"/>
              <w:spacing w:before="0" w:after="283"/>
              <w:jc w:val="left"/>
              <w:rPr>
                <w:sz w:val="4"/>
                <w:szCs w:val="4"/>
              </w:rPr>
            </w:pPr>
            <w:r>
              <w:rPr>
                <w:sz w:val="4"/>
                <w:szCs w:val="4"/>
              </w:rPr>
            </w:r>
          </w:p>
        </w:tc>
        <w:tc>
          <w:tcPr>
            <w:tcW w:w="2550"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Number of Shares Purchased as Part of Publicly Announced Plans or Programs</w:t>
            </w:r>
          </w:p>
        </w:tc>
        <w:tc>
          <w:tcPr>
            <w:tcW w:w="109" w:type="dxa"/>
            <w:tcBorders/>
            <w:vAlign w:val="center"/>
          </w:tcPr>
          <w:p>
            <w:pPr>
              <w:pStyle w:val="TableContents"/>
              <w:bidi w:val="0"/>
              <w:spacing w:before="0" w:after="283"/>
              <w:jc w:val="left"/>
              <w:rPr>
                <w:sz w:val="4"/>
                <w:szCs w:val="4"/>
              </w:rPr>
            </w:pPr>
            <w:r>
              <w:rPr>
                <w:sz w:val="4"/>
                <w:szCs w:val="4"/>
              </w:rPr>
            </w:r>
          </w:p>
        </w:tc>
        <w:tc>
          <w:tcPr>
            <w:tcW w:w="2543"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Maximum Number of Shares that May Yet be Purchased Under the Plans or Programs</w:t>
            </w:r>
          </w:p>
        </w:tc>
      </w:tr>
      <w:tr>
        <w:trPr/>
        <w:tc>
          <w:tcPr>
            <w:tcW w:w="166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October 1, 2025 - October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8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55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6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November 1, 2025 - November 30, 2025</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7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71"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6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1, 2025 - 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8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4,893,260</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7"/>
                <w:sz w:val="16"/>
                <w:sz w:val="20"/>
              </w:rPr>
            </w:pPr>
            <w:r>
              <w:rPr>
                <w:rFonts w:ascii="Times New Roman;serif" w:hAnsi="Times New Roman;serif"/>
                <w:b w:val="false"/>
                <w:i w:val="false"/>
                <w:caps w:val="false"/>
                <w:smallCaps w:val="false"/>
                <w:color w:val="000000"/>
                <w:position w:val="7"/>
                <w:sz w:val="16"/>
                <w:sz w:val="20"/>
              </w:rPr>
              <w:t>(1)</w:t>
            </w:r>
          </w:p>
        </w:tc>
        <w:tc>
          <w:tcPr>
            <w:tcW w:w="33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6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6.58</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7"/>
                <w:sz w:val="16"/>
                <w:sz w:val="20"/>
              </w:rPr>
            </w:pPr>
            <w:r>
              <w:rPr>
                <w:rFonts w:ascii="Times New Roman;serif" w:hAnsi="Times New Roman;serif"/>
                <w:b w:val="false"/>
                <w:i w:val="false"/>
                <w:caps w:val="false"/>
                <w:smallCaps w:val="false"/>
                <w:color w:val="000000"/>
                <w:position w:val="7"/>
                <w:sz w:val="16"/>
                <w:sz w:val="20"/>
              </w:rPr>
              <w:t>(1)</w:t>
            </w:r>
          </w:p>
        </w:tc>
        <w:tc>
          <w:tcPr>
            <w:tcW w:w="2550"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6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4,893,260</w:t>
            </w:r>
          </w:p>
        </w:tc>
        <w:tc>
          <w:tcPr>
            <w:tcW w:w="271" w:type="dxa"/>
            <w:tcBorders/>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6.58</w:t>
            </w:r>
          </w:p>
        </w:tc>
        <w:tc>
          <w:tcPr>
            <w:tcW w:w="271" w:type="dxa"/>
            <w:tcBorders/>
            <w:vAlign w:val="center"/>
          </w:tcPr>
          <w:p>
            <w:pPr>
              <w:pStyle w:val="TableContents"/>
              <w:bidi w:val="0"/>
              <w:spacing w:before="0" w:after="283"/>
              <w:jc w:val="left"/>
              <w:rPr>
                <w:sz w:val="4"/>
                <w:szCs w:val="4"/>
              </w:rPr>
            </w:pPr>
            <w:r>
              <w:rPr>
                <w:sz w:val="4"/>
                <w:szCs w:val="4"/>
              </w:rPr>
            </w:r>
          </w:p>
        </w:tc>
        <w:tc>
          <w:tcPr>
            <w:tcW w:w="255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4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ind w:left="360" w:right="0" w:hanging="360"/>
        <w:rPr>
          <w:rFonts w:ascii="Times New Roman;serif" w:hAnsi="Times New Roman;serif"/>
          <w:sz w:val="20"/>
        </w:rPr>
      </w:pPr>
      <w:r>
        <w:rPr>
          <w:rFonts w:ascii="Times New Roman;serif" w:hAnsi="Times New Roman;serif"/>
          <w:b w:val="false"/>
          <w:i w:val="false"/>
          <w:caps w:val="false"/>
          <w:smallCaps w:val="false"/>
          <w:position w:val="7"/>
          <w:sz w:val="16"/>
          <w:sz w:val="20"/>
        </w:rPr>
        <w:t>(1)</w:t>
      </w:r>
      <w:bookmarkStart w:id="29" w:name="_Hlk125975166"/>
      <w:bookmarkEnd w:id="29"/>
      <w:r>
        <w:rPr>
          <w:rFonts w:ascii="Times New Roman;serif" w:hAnsi="Times New Roman;serif"/>
          <w:b w:val="false"/>
          <w:i w:val="false"/>
          <w:caps w:val="false"/>
          <w:smallCaps w:val="false"/>
          <w:sz w:val="20"/>
        </w:rPr>
        <w:t>We cancelled 17,970 shares that were forfeited when vesting conditions were not met, in accordance with the terms of the 2021 Omnibus Equity Compensation Plan and the related award agreements. We did not pay cash to repurchase these shares, nor were these repurchases part of a publicly announced plan or program. We also paid cash in lieu of fractional shares for 4,875,290 shares of our common stock as a result of the Reverse Stock Split for $6.60 per pre-Reverse Stock Split share, or approximately $32.2 million in the aggregate.</w:t>
      </w:r>
    </w:p>
    <w:p>
      <w:pPr>
        <w:pStyle w:val="TextBody"/>
        <w:bidi w:val="0"/>
        <w:spacing w:lineRule="auto" w:line="259"/>
        <w:jc w:val="center"/>
        <w:rPr>
          <w:rFonts w:ascii="Times New Roman;serif" w:hAnsi="Times New Roman;serif"/>
          <w:b w:val="false"/>
          <w:i w:val="false"/>
          <w:caps w:val="false"/>
          <w:smallCaps w:val="false"/>
          <w:sz w:val="20"/>
        </w:rPr>
      </w:pPr>
      <w:bookmarkStart w:id="30" w:name="Item_6_Reserved"/>
      <w:bookmarkEnd w:id="30"/>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6. [RESERVED]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7. MANAGEMENT’S DISCUSSION AND ANALYSIS OF FINANCIAL CO</w:t>
      </w:r>
      <w:bookmarkStart w:id="31" w:name="Item_7_MDA"/>
      <w:bookmarkEnd w:id="31"/>
      <w:r>
        <w:rPr>
          <w:rFonts w:ascii="Times New Roman;serif" w:hAnsi="Times New Roman;serif"/>
          <w:b/>
          <w:i w:val="false"/>
          <w:caps w:val="false"/>
          <w:smallCaps w:val="false"/>
          <w:sz w:val="20"/>
        </w:rPr>
        <w:t xml:space="preserve">NDITION AND RESULTS OF OPERATIONS </w:t>
      </w:r>
    </w:p>
    <w:p>
      <w:pPr>
        <w:pStyle w:val="TextBody"/>
        <w:bidi w:val="0"/>
        <w:spacing w:lineRule="auto" w:line="259"/>
        <w:rPr>
          <w:rFonts w:ascii="Times New Roman;serif" w:hAnsi="Times New Roman;serif"/>
          <w:sz w:val="20"/>
        </w:rPr>
      </w:pPr>
      <w:bookmarkStart w:id="32" w:name="OLE_LINK20"/>
      <w:bookmarkEnd w:id="32"/>
      <w:r>
        <w:rPr>
          <w:rFonts w:ascii="Times New Roman;serif" w:hAnsi="Times New Roman;serif"/>
          <w:b w:val="false"/>
          <w:i/>
          <w:sz w:val="20"/>
        </w:rPr>
        <w:t>You should read the following discussion and analysis together with our consolidated financial statements and related notes included elsewhere in this report. Among other things, those historical consolidated financial statements include more detailed information regarding the basis of presentation for the financial data than is included in the following discussion. This report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“predict,”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report relate to, among other things, statements about the perceived benefits of the Company’s delisting and deregistration, including our ability to realize the anticipated benefits of the Transaction; our business strengths, marketing strategies, competitive advantages and role in our industry and markets; an overall decline in the health of the economy, the tile industry, consumer confidence and spending, and the housing market, including as a result of high inflation or fluctuating interest rates, tariffs and other trade barriers and restrictions, instability in the global banking system, geopolitical instability, or the possibility of an economic downturn or recession or other macroeconomic factors;</w:t>
      </w:r>
      <w:r>
        <w:rPr>
          <w:rFonts w:ascii="Times New Roman;serif" w:hAnsi="Times New Roman;serif"/>
          <w:color w:val="000000"/>
          <w:sz w:val="20"/>
        </w:rPr>
        <w:t xml:space="preserve"> </w:t>
      </w:r>
      <w:r>
        <w:rPr>
          <w:rFonts w:ascii="Times New Roman;serif" w:hAnsi="Times New Roman;serif"/>
          <w:b w:val="false"/>
          <w:i/>
          <w:color w:val="000000"/>
          <w:sz w:val="20"/>
        </w:rPr>
        <w:t xml:space="preserve">the impact of ongoing supply chain disruptions (including tariffs) and inflationary cost pressures, including increased materials, labor, energy, and transportation costs and decreased discretionary consumer spending; our </w:t>
      </w:r>
      <w:r>
        <w:rPr>
          <w:rFonts w:ascii="Times New Roman;serif" w:hAnsi="Times New Roman;serif"/>
          <w:b w:val="false"/>
          <w:i/>
          <w:sz w:val="20"/>
        </w:rPr>
        <w:t>ability to successfully implement and realize the anticipated benefits of our strategic plan; our ability to successfully anticipate consumer trends; any statements with respect to dividends or stock repurchases and timing, methods, and payment of same; the effectiveness of our marketing strategy; potential fluctuations in our comparable store sales; our expectations regarding our and our customers’ financing arrangements and our ability to obtain additional capital</w:t>
      </w:r>
      <w:r>
        <w:rPr>
          <w:rFonts w:ascii="Times New Roman;serif" w:hAnsi="Times New Roman;serif"/>
          <w:b w:val="false"/>
          <w:i/>
          <w:color w:val="000000"/>
          <w:sz w:val="20"/>
        </w:rPr>
        <w:t>, including potential difficulties of obtaining financing due to market conditions resulting from geopolitical conditions, including the impacts of tariffs and other trade barriers and restrictions and resulting volatility in the financial, capital and bond markets, and other economic factors;</w:t>
      </w:r>
      <w:r>
        <w:rPr>
          <w:rFonts w:ascii="Times New Roman;serif" w:hAnsi="Times New Roman;serif"/>
          <w:sz w:val="20"/>
        </w:rPr>
        <w:t xml:space="preserve"> </w:t>
      </w:r>
      <w:r>
        <w:rPr>
          <w:rFonts w:ascii="Times New Roman;serif" w:hAnsi="Times New Roman;serif"/>
          <w:b w:val="false"/>
          <w:i/>
          <w:sz w:val="20"/>
        </w:rPr>
        <w:t>supply costs and expectations, including the continued availability of sufficient products from our suppliers, risks related to relying on foreign suppliers, and the potential impact of the Russia-Ukraine, Israel/Hamas and other geopolitical conflicts on, among other things, product availability and pricing and timing and cost of deliveries; the impact of U.S. trade tensions, including increased tariffs and retaliatory measures imposed by foreign governments; our expectations with respect to ongoing compliance with the terms of the credit facility, including fluctuating interest rates</w:t>
      </w:r>
      <w:r>
        <w:rPr>
          <w:rFonts w:ascii="Times New Roman;serif" w:hAnsi="Times New Roman;serif"/>
          <w:b w:val="false"/>
          <w:i/>
          <w:color w:val="000000"/>
          <w:sz w:val="20"/>
        </w:rPr>
        <w:t>; our ability to provide timely delivery to our customers</w:t>
      </w:r>
      <w:r>
        <w:rPr>
          <w:rFonts w:ascii="Times New Roman;serif" w:hAnsi="Times New Roman;serif"/>
          <w:b w:val="false"/>
          <w:i/>
          <w:sz w:val="20"/>
        </w:rPr>
        <w:t>; the effect of regulations on us and our industry, and our suppliers’ compliance with such regulations, including any environmental requirements; the impact of corporate citizenship; labor shortages and our expectations regarding the effects of employee recruiting, training, mentoring, and retention on our business; tax-related risks; the potential impact of cybersecurity breaches or disruptions to our management information systems or to third-party information technology systems upon which we rely; widespread outages, interruptions or other failures of operational, communication or other systems; our ability to successfully implement our information technology and other digital initiatives; our ability to effectively manage our online sales; costs and adequacy of insurance</w:t>
      </w:r>
      <w:r>
        <w:rPr>
          <w:rFonts w:ascii="Times New Roman;serif" w:hAnsi="Times New Roman;serif"/>
          <w:b w:val="false"/>
          <w:i/>
          <w:color w:val="000000"/>
          <w:sz w:val="20"/>
        </w:rPr>
        <w:t>; the potential impact of natural disasters and other catastrophic events; risks inherent in operating as a holding company; our ability to maintain effective internal control over financial reporting; the potential outcome of any legal proceedings; and risks related to ownership of our common stock.</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These forward-looking statements are based on current expectations and assumptions that are subject to risks and uncertainties, many of which are difficult to predict and are outside of our control, that may cause our actual results, performance, or achievements to differ materially from any expected future results, performance, or achievements expressed or implied by such forward-looking statements. These risks and uncertainties include, but are not limited to:</w:t>
      </w:r>
    </w:p>
    <w:p>
      <w:pPr>
        <w:pStyle w:val="TextBody"/>
        <w:bidi w:val="0"/>
        <w:spacing w:lineRule="auto" w:line="252"/>
        <w:ind w:left="720" w:right="0" w:hanging="360"/>
        <w:rPr/>
      </w:pPr>
      <w:r>
        <w:rPr>
          <w:caps w:val="false"/>
          <w:smallCaps w:val="false"/>
        </w:rPr>
        <w:t></w:t>
      </w:r>
      <w:r>
        <w:rPr>
          <w:rFonts w:ascii="Times New Roman;serif" w:hAnsi="Times New Roman;serif"/>
          <w:b w:val="false"/>
          <w:i/>
          <w:sz w:val="20"/>
        </w:rPr>
        <w:t>the level of demand for our products;</w:t>
      </w:r>
    </w:p>
    <w:p>
      <w:pPr>
        <w:pStyle w:val="TextBody"/>
        <w:bidi w:val="0"/>
        <w:spacing w:lineRule="auto" w:line="252"/>
        <w:ind w:left="720" w:right="0" w:hanging="360"/>
        <w:rPr/>
      </w:pPr>
      <w:r>
        <w:rPr>
          <w:caps w:val="false"/>
          <w:smallCaps w:val="false"/>
        </w:rPr>
        <w:t></w:t>
      </w:r>
      <w:r>
        <w:rPr>
          <w:rFonts w:ascii="Times New Roman;serif" w:hAnsi="Times New Roman;serif"/>
          <w:b w:val="false"/>
          <w:i/>
          <w:sz w:val="20"/>
        </w:rPr>
        <w:t>our ability to grow and remain profitable in the highly competitive retail tile industry;</w:t>
      </w:r>
    </w:p>
    <w:p>
      <w:pPr>
        <w:pStyle w:val="TextBody"/>
        <w:bidi w:val="0"/>
        <w:spacing w:lineRule="auto" w:line="252"/>
        <w:ind w:left="720" w:right="0" w:hanging="360"/>
        <w:rPr/>
      </w:pPr>
      <w:r>
        <w:rPr>
          <w:caps w:val="false"/>
          <w:smallCaps w:val="false"/>
        </w:rPr>
        <w:t></w:t>
      </w:r>
      <w:r>
        <w:rPr>
          <w:rFonts w:ascii="Times New Roman;serif" w:hAnsi="Times New Roman;serif"/>
          <w:b w:val="false"/>
          <w:i/>
          <w:sz w:val="20"/>
        </w:rPr>
        <w:t>our ability to access additional capital when and as needed;</w:t>
      </w:r>
    </w:p>
    <w:p>
      <w:pPr>
        <w:pStyle w:val="TextBody"/>
        <w:bidi w:val="0"/>
        <w:spacing w:lineRule="auto" w:line="252"/>
        <w:ind w:left="720" w:right="0" w:hanging="360"/>
        <w:rPr/>
      </w:pPr>
      <w:r>
        <w:rPr>
          <w:caps w:val="false"/>
          <w:smallCaps w:val="false"/>
        </w:rPr>
        <w:t></w:t>
      </w:r>
      <w:r>
        <w:rPr>
          <w:rFonts w:ascii="Times New Roman;serif" w:hAnsi="Times New Roman;serif"/>
          <w:b w:val="false"/>
          <w:i/>
          <w:sz w:val="20"/>
        </w:rPr>
        <w:t>our ability to attract and retain qualified personnel;</w:t>
      </w:r>
    </w:p>
    <w:p>
      <w:pPr>
        <w:pStyle w:val="TextBody"/>
        <w:bidi w:val="0"/>
        <w:spacing w:lineRule="auto" w:line="252"/>
        <w:ind w:left="720" w:right="0" w:hanging="360"/>
        <w:rPr/>
      </w:pPr>
      <w:r>
        <w:rPr>
          <w:caps w:val="false"/>
          <w:smallCaps w:val="false"/>
        </w:rPr>
        <w:t></w:t>
      </w:r>
      <w:r>
        <w:rPr>
          <w:rFonts w:ascii="Times New Roman;serif" w:hAnsi="Times New Roman;serif"/>
          <w:b w:val="false"/>
          <w:i/>
          <w:sz w:val="20"/>
        </w:rPr>
        <w:t>changes in general economic, business and industry conditions, including any economic downturn or recession;</w:t>
      </w:r>
    </w:p>
    <w:p>
      <w:pPr>
        <w:pStyle w:val="TextBody"/>
        <w:bidi w:val="0"/>
        <w:spacing w:lineRule="auto" w:line="252"/>
        <w:ind w:left="720" w:right="0" w:hanging="360"/>
        <w:rPr/>
      </w:pPr>
      <w:r>
        <w:rPr>
          <w:caps w:val="false"/>
          <w:smallCaps w:val="false"/>
        </w:rPr>
        <w:t></w:t>
      </w:r>
      <w:r>
        <w:rPr>
          <w:rFonts w:ascii="Times New Roman;serif" w:hAnsi="Times New Roman;serif"/>
          <w:b w:val="false"/>
          <w:i/>
          <w:sz w:val="20"/>
        </w:rPr>
        <w:t>our ability to introduce new products that satisfy market demand; and</w:t>
      </w:r>
    </w:p>
    <w:p>
      <w:pPr>
        <w:pStyle w:val="TextBody"/>
        <w:bidi w:val="0"/>
        <w:spacing w:lineRule="auto" w:line="252"/>
        <w:ind w:left="720" w:right="0" w:hanging="360"/>
        <w:rPr/>
      </w:pPr>
      <w:r>
        <w:rPr>
          <w:caps w:val="false"/>
          <w:smallCaps w:val="false"/>
        </w:rPr>
        <w:t></w:t>
      </w:r>
      <w:r>
        <w:rPr>
          <w:rFonts w:ascii="Times New Roman;serif" w:hAnsi="Times New Roman;serif"/>
          <w:b w:val="false"/>
          <w:i/>
          <w:sz w:val="20"/>
        </w:rPr>
        <w:t>legal, regulatory, and tax developments, including additional requirements imposed by changes in domestic and foreign laws and regulations.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 xml:space="preserve">There is no assurance that our expectations will be realized. If one or more of these risks or uncertainties materialize, or if our underlying assumptions prove incorrect, actual results may vary materially from those expected, estimated, or projected. Such risks and uncertainties also include those set forth in Part I, Item 1A. “Risk Factors,” of this report. These statements are based on the beliefs and assumptions of our management based on information currently available to management. Our forward-looking statements speak only as of the time that they are made and do not necessarily reflect our outlook at any other point in time. Except as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required by law, we undertake no obligation to update publicly any forward-looking statements, whether as a result of new information, future events, or for any other reason.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Recent Developments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December 3, 2025, the Company held the Special Meeting. At the Special Meeting the holders of the Company’s issued and outstanding shares of the common stock, entitled to vote approved, by a majority of the votes cast at the Special Meeting, an amendment to the Certificate of Incorporation to effect the Reverse Stock Split, followed immediately by the Forward Stock Split. The Board determined to effectuate (i) the Reverse Stock Split at a ratio of 1-for-3,000 and (ii) the Forward Stock Split at a ratio of 3,000-for-1. At the direction of the Board, on December 15, 2025, the Company filed the certificates of amendment to the Certificate of Incorporation with the Secretary of State of the State of Delaware to effect the Reverse Stock Split at 5:01 p.m., followed immediately by the Forward Stock Split at 5:02 p.m., respectively, on that day.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 result of the Reverse Stock Split, each share of common stock held by a Cashed-Out Stockholder was converted into the right to receive $6.60 in cash, without interest, per whole share and such stockholders are no longer stockholders of the Company. Stockholders owning a number of shares of common stock equal to or greater than the Minimum Number immediately prior to the effective time of the Reverse Stock Split were not entitled to receive any cash for their fractional share interests resulting from the Reverse Stock Split, if any. The Forward Stock Split, which immediately followed the Reverse Stock Split, reconverted whole shares and fractional share interests held by the Continuing Stockholders back into the same number of shares of the common stock held by such Continuing Stockholders immediately prior to the effective time. As a result of the Forward Stock Split, the total number of shares of common stock held by a Continuing Stockholder did not change. Following the completion of the Reverse Stock Split, the Company paid an aggregate of approximately $32.2 million to the Cashed-Out Stockholders, including stockholders who held fewer than 3,000 shares of common stock through banks and brokers.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December 17, 2025, the Company filed a Form 25 Notification of Removal from Listing and/or Registration, in order to voluntarily withdraw its common stock from listing on the Nasdaq and to deregister the common stock under Section 12(b) of the Exchange Act. Upon delisting from Nasdaq, on January 2, 2026, the Company filed a Form 15 with the SEC to deregister the common stock under Section 15(d) of the Exchange Act.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Stock Splits had the effect of reducing the number of record holders of the Company’s common stock to a number below 300 (i.e., the level at or above which the Company is required to file reports with the SEC under the Exchange Act). The Stock Splits were undertaken as part of the Company’s plan to give effect to the Transaction (i.e., the actions the Company has taken to suspend, and events that occur as a result of such actions that have the effect of suspending, the Company’s reporting obligations under the Exchange Act, including effectuating the Stock Splits, delisting the Company’s common stock from trading on Nasdaq, terminating the registration of the Company’s common stock under Sections 12(b) and 12(g) of the Exchange Act and suspending the Company’s reporting obligations under Section 15(d) of the Exchange Act).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result of the Transaction, the Company will no longer be subject to the reporting requirements under the Exchange Act or other requirements applicable to a public company, including requirements under the Sarbanes-Oxley Act of 2002 and the listing standards of any national securities exchange. Following the filing of this Annual Report on Form 10-K for the year ended December 31, 2025, therefore, the Company will cease to file annual, quarterly, current, and other reports and documents with the SEC.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Introduction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light of ongoing changes to U.S. trade policy, including the imposition of elevated tariffs on certain imported goods, the threat of new tariffs, and ongoing negotiations between the U.S. and other countries regarding trade arrangements and tariff levels, the Company is evaluating a range of strategic options to manage the anticipated cost pressures including sourcing adjustments and pricing strategies. The degree of our exposure is dependent on (among other things) the type of goods, rates imposed and timing of the tariffs. On February 20, 2026, the U.S. Supreme Court rendered a decision invalidating tariffs imposed under the International Emergency Economic Powers Act. This decision introduces uncertainty regarding potential refund processes and further uncertainty regarding future trade policy actions and could affect our cost structure and supply chain planning. We continue to monitor developments around the Supreme Court’s decision and evaluate its potential impact on our future financial results and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tariffs, any resulting retaliatory tariffs and any related supply-chain disruptions could have a significant impact on the Company’s consolidated statement of operations and statement of cash flows. In response to currently applicable and potential future tariffs, we are continuing to evaluate actions we can take that are intended to minimize the impact of the tariffs on our financial position and results of operations. While we believe that these actions and policies will mitigate a substantial portion of the impact of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tariffs, we cannot provide any assurances that the tariffs or any resulting impediments to trade will not have a material effect on our consolidated statement of operations and statement of 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there is meaningful uncertainty related to the confluence of different macroeconomic factors that could influence business conditions in the U.S. The Company continues to monitor the impacts of various macroeconomic factors, such as inflationary pressure, changes in monetary policy, decreasing consumer confidence and spending, the introduction of or changes in tariffs or trade barriers, employment rates, the ongoing U.S. federal government shutdown, and the potential for an economic downturn or recession. Such changes in macroeconomic conditions may lead to increased costs. Additionally, these macroeconomic trends could adversely affect the Company’s customers, which could impact their willingness to spend on the Company’s products and services, or their ability to make payments, which could negatively impact our financial results. While our risk expectation is that these different factors will moderate in the future, the timing and precise outlook for these improvements is uncertain, and we cannot predict the ultimate impact such factors will have on the Company’s business, financial condition, results of operation and cash flows, which will depend largely on future developments.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Overview and Recent Trends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 specialty retailer of man-made and natural stone tiles, luxury vinyl tiles, setting and maintenance materials, and related accessories in the United States. We offer a wide selection of products, attractive prices, and exceptional customer service in an extensive showroom setting. As of December 31, 2025, we operated 140 stores in 31 states and the District of Columbia, with an average size of approximately 20,000 square feet.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purchase our tile products and accessories directly from suppliers and manufacture our own setting and maintenance materials, such as thinset, grout, and sealers. We believe that our long-term supplier relationships, together with our design and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man-made and luxury vinyl tiles, setting and maintenance materials, and related accessories in the United States.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sets forth information about our net sales, operating (loss) income and stores opened from 2023 to 2025.</w:t>
      </w:r>
    </w:p>
    <w:tbl>
      <w:tblPr>
        <w:tblW w:w="7030" w:type="dxa"/>
        <w:jc w:val="left"/>
        <w:tblInd w:w="0" w:type="dxa"/>
        <w:tblLayout w:type="fixed"/>
        <w:tblCellMar>
          <w:top w:w="0" w:type="dxa"/>
          <w:left w:w="0" w:type="dxa"/>
          <w:bottom w:w="0" w:type="dxa"/>
          <w:right w:w="0" w:type="dxa"/>
        </w:tblCellMar>
      </w:tblPr>
      <w:tblGrid>
        <w:gridCol w:w="3466"/>
        <w:gridCol w:w="109"/>
        <w:gridCol w:w="211"/>
        <w:gridCol w:w="853"/>
        <w:gridCol w:w="109"/>
        <w:gridCol w:w="211"/>
        <w:gridCol w:w="853"/>
        <w:gridCol w:w="109"/>
        <w:gridCol w:w="211"/>
        <w:gridCol w:w="898"/>
      </w:tblGrid>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5" w:type="dxa"/>
            <w:gridSpan w:val="8"/>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year ended December 31,</w:t>
            </w:r>
          </w:p>
        </w:tc>
      </w:tr>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r>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5" w:type="dxa"/>
            <w:gridSpan w:val="8"/>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except store data)</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336,820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347,071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377,146</w:t>
            </w:r>
          </w:p>
        </w:tc>
      </w:tr>
      <w:tr>
        <w:trPr/>
        <w:tc>
          <w:tcPr>
            <w:tcW w:w="3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(Loss) 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16,158</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27,107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62,060</w:t>
            </w:r>
          </w:p>
        </w:tc>
      </w:tr>
      <w:tr>
        <w:trPr/>
        <w:tc>
          <w:tcPr>
            <w:tcW w:w="3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stores opened during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serve customers who seek to undertake a wide range of projects; however, many end customers choose to work with us when they choose to remodel their home. Historically, we have monitored existing home sales trends as a leading indicator of demand in our industry, which remained challenged during 2025. For the year ended December 31, 2025, our comparable store sales decreased by 2.8% due to lower levels of traffic, partially offset by an increase in average ticket value.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operating results are heavily dependent upon the prices paid to acquire man-made and natural stone products from our suppliers around the world. Cost increases from our suppliers as well as increases in tariffs paid to import tile products into the United States contributed to a 190 basis points decrease in our gross margin rate from 65.7% in 2024 to 63.8% in 2025.</w:t>
      </w:r>
    </w:p>
    <w:p>
      <w:pPr>
        <w:pStyle w:val="TextBody"/>
        <w:bidi w:val="0"/>
        <w:spacing w:lineRule="auto" w:line="259"/>
        <w:rPr>
          <w:rFonts w:ascii="Times New Roman;serif" w:hAnsi="Times New Roman;serif"/>
          <w:b w:val="false"/>
          <w:i w:val="false"/>
          <w:caps w:val="false"/>
          <w:smallCaps w:val="false"/>
          <w:sz w:val="20"/>
        </w:rPr>
      </w:pPr>
      <w:bookmarkStart w:id="33" w:name="_Hlk128075136"/>
      <w:bookmarkEnd w:id="33"/>
      <w:r>
        <w:rPr>
          <w:rFonts w:ascii="Times New Roman;serif" w:hAnsi="Times New Roman;serif"/>
          <w:b w:val="false"/>
          <w:i w:val="false"/>
          <w:caps w:val="false"/>
          <w:smallCaps w:val="false"/>
          <w:sz w:val="20"/>
        </w:rPr>
        <w:t>Selling, general and administrative expenses decreased by $3.5 million, or 1.6%, from $224.4 million in 2024 to $220.8 million in 2025. The decrease was primarily due to a $2.6 million reduction in selling, general and administrative expenses associated with the closure of our New Jersey and Wisconsin distribution centers and a $1.1 million decrease in wages associated with reductions in staffing levels at our corporate offices.  Excluding the impact of the New Jersey and Wisconsin distribution center closures, variable expenses decreased by $1.5 million and depreciation expense decreased by an additional $1.3 million, which were partially offset by a $1.1 million increase due to costs incurred in connection with the delisting process as well as an increase in other legal expenses, a $0.7 million increase in shipping, a $0.5 million increase in IT, a $0.5 million increase in operating supplies and a $0.4 million increase in marketing.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response to the challenges faced in our industry and continued pressure on our topline results, during 2025, we took steps to close our distribution center located in Spring Valley, Wisconsin, reduce staffing levels at our corporate office and closed two store locations. We did not incur any material asset impairment or severance costs in connection with these actions. In February 2026, the Company sold its distribution center in Wisconsin for a total cash consideration of $1.2 million. The distribution center was classified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held for sale within other current assets, net in the consolidated balance sheet as of December 31, 2025, with a net book value of $0.4 million. The sale resulted in a gain of $0.8 million, which will be recognized in the first quarter of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balances decreased by $10.9 million from $21.0 million on December 31, 2024 to $10.1 million on December 31, 2025. The decrease in cash was primarily due to cash disbursements of $32.0 million to fund shares repurchased in 2025 in connection with the Transaction and $9.6 million used to purchase property, plant and equipment that were partially offset by $5.8 million of operating cash flow and $25.0 million of borrowings on our line of credit. Borrowings outstanding on our revolving line of credit were $25.0 million as of December 31, 2025. As of December 31, 2024, we had no borrowings outstanding on our revolving line of credit.</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shd w:fill="FFFFFF" w:val="clear"/>
        </w:rPr>
      </w:pPr>
      <w:r>
        <w:rPr>
          <w:rFonts w:ascii="Times New Roman;serif" w:hAnsi="Times New Roman;serif"/>
          <w:b/>
          <w:i w:val="false"/>
          <w:caps w:val="false"/>
          <w:smallCaps w:val="false"/>
          <w:sz w:val="20"/>
          <w:shd w:fill="FFFFFF" w:val="clear"/>
        </w:rPr>
        <w:t xml:space="preserve">Selected Financial Data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selected historical financial information derived from (i) our audited financial statements included elsewhere in this report as of December 31, 2025 and 2024 and for the years ended December 31, 2025, 2024, and 2023 and (ii) our audited financial statements not included elsewhere in this report as of December 31, 2023, 2022, and 2021 and for the years ended December 31, 2022 and 2021. The following selected financial data should be read in conjunction with the remainder of this section and the financial statements and the related notes appearing elsewhere in this report.</w:t>
      </w:r>
    </w:p>
    <w:tbl>
      <w:tblPr>
        <w:tblW w:w="10205" w:type="dxa"/>
        <w:jc w:val="left"/>
        <w:tblInd w:w="0" w:type="dxa"/>
        <w:tblLayout w:type="fixed"/>
        <w:tblCellMar>
          <w:top w:w="0" w:type="dxa"/>
          <w:left w:w="0" w:type="dxa"/>
          <w:bottom w:w="0" w:type="dxa"/>
          <w:right w:w="0" w:type="dxa"/>
        </w:tblCellMar>
      </w:tblPr>
      <w:tblGrid>
        <w:gridCol w:w="2940"/>
        <w:gridCol w:w="109"/>
        <w:gridCol w:w="211"/>
        <w:gridCol w:w="853"/>
        <w:gridCol w:w="271"/>
        <w:gridCol w:w="109"/>
        <w:gridCol w:w="211"/>
        <w:gridCol w:w="853"/>
        <w:gridCol w:w="271"/>
        <w:gridCol w:w="109"/>
        <w:gridCol w:w="211"/>
        <w:gridCol w:w="853"/>
        <w:gridCol w:w="271"/>
        <w:gridCol w:w="109"/>
        <w:gridCol w:w="211"/>
        <w:gridCol w:w="853"/>
        <w:gridCol w:w="271"/>
        <w:gridCol w:w="109"/>
        <w:gridCol w:w="211"/>
        <w:gridCol w:w="853"/>
        <w:gridCol w:w="316"/>
      </w:tblGrid>
      <w:tr>
        <w:trPr/>
        <w:tc>
          <w:tcPr>
            <w:tcW w:w="2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0" w:type="dxa"/>
            <w:gridSpan w:val="18"/>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or for the year ended December 31,</w:t>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2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2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c>
          <w:tcPr>
            <w:tcW w:w="2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c>
          <w:tcPr>
            <w:tcW w:w="2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2021</w:t>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0" w:type="dxa"/>
            <w:gridSpan w:val="18"/>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except per share and store data)</w:t>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Statement of Income Data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336,820</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347,071</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377,146</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394,702</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370,700</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121,800</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119,197</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134,085</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135,765</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117,570</w:t>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215,020</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227,874</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243,061</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258,937</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253,130</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Selling, general and administrative</w:t>
              <w:b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220,834</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224,357</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226,903</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236,328</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232,520</w:t>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(5,814)</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3,517</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16,158</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22,609</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20,610</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(275)</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(2,164)</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(1,579)</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(656)</w:t>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(5,855)</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3,242</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13,994</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21,030</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19,954</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1,361</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(921)</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(3,923)</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(5,327)</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(5,180)</w:t>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Net (loss) income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(4,494)</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2,321</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10,071</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15,703</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14,774</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Earnings per share (diluted)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double" w:sz="6" w:space="0" w:color="000000"/>
            </w:tcBorders>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(0.10)</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double" w:sz="6"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0.05</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double" w:sz="6"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0.23</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double" w:sz="6"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0.32</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double" w:sz="6"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0.29</w:t>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Weighted average shares </w:t>
              <w:b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outstanding (diluted)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43,697</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43,852</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43,621</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49,247</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51,085</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Balance Sheet Data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10,120</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20,957</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8,620</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5,948</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9,358</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89,399</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86,267</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93,679</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120,952</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97,175</w:t>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301,725</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319,603</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316,672</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345,822</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340,758</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134,845</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142,580</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139,962</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131,219</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138,451</w:t>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Total debt</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25,000</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45,400</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5,000</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87,239</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122,912</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119,687</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108,769</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122,224</w:t>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Working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33,795</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41,428</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35,813</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63,112</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29,369</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 Data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Net cash provided by operating </w:t>
              <w:b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5,792</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27,107</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62,060</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2,715</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39,691</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(9,366)</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(14,336)</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(15,255)</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(14,027)</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(11,070)</w:t>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Net cash (used in) provided by </w:t>
              <w:b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(7,263)</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(503)</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(45,928)</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9,114</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(28,902)</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i w:val="false"/>
                <w:caps w:val="false"/>
                <w:smallCaps w:val="false"/>
                <w:sz w:val="20"/>
              </w:rPr>
              <w:t>Other Selected Financial Data</w:t>
              <w:br/>
              <w:t>‎</w:t>
            </w:r>
            <w:r>
              <w:rPr>
                <w:rFonts w:ascii="Times New Roman;serif" w:hAnsi="Times New Roman;serif"/>
                <w:caps w:val="false"/>
                <w:smallCaps w:val="false"/>
                <w:sz w:val="20"/>
              </w:rPr>
              <w:t>   </w:t>
            </w:r>
            <w:r>
              <w:rPr>
                <w:rFonts w:ascii="Times New Roman;serif" w:hAnsi="Times New Roman;serif"/>
                <w:b/>
                <w:i w:val="false"/>
                <w:caps w:val="false"/>
                <w:smallCaps w:val="false"/>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Dividends paid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0.65</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2940"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Adjusted EBITDA</w:t>
            </w:r>
            <w:r>
              <w:rPr>
                <w:rFonts w:ascii="Times New Roman;serif" w:hAnsi="Times New Roman;serif"/>
                <w:b w:val="false"/>
                <w:i w:val="false"/>
                <w:caps w:val="false"/>
                <w:smallCaps w:val="false"/>
                <w:position w:val="7"/>
                <w:sz w:val="16"/>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11,441</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22,614</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38,779</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49,583</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50,255</w:t>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Adjusted EBITDA margin</w:t>
            </w:r>
            <w:r>
              <w:rPr>
                <w:rFonts w:ascii="Times New Roman;serif" w:hAnsi="Times New Roman;serif"/>
                <w:b w:val="false"/>
                <w:i w:val="false"/>
                <w:caps w:val="false"/>
                <w:smallCaps w:val="false"/>
                <w:position w:val="7"/>
                <w:sz w:val="16"/>
                <w:sz w:val="2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2940"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Gross margin rate</w:t>
            </w:r>
            <w:r>
              <w:rPr>
                <w:rFonts w:ascii="Times New Roman;serif" w:hAnsi="Times New Roman;serif"/>
                <w:b w:val="false"/>
                <w:i w:val="false"/>
                <w:caps w:val="false"/>
                <w:smallCaps w:val="false"/>
                <w:position w:val="7"/>
                <w:sz w:val="16"/>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63.8</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65.7</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64.4</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65.6</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68.3</w:t>
            </w:r>
          </w:p>
        </w:tc>
        <w:tc>
          <w:tcPr>
            <w:tcW w:w="3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2940"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Operating (loss) income margin</w:t>
            </w:r>
            <w:r>
              <w:rPr>
                <w:rFonts w:ascii="Times New Roman;serif" w:hAnsi="Times New Roman;serif"/>
                <w:b w:val="false"/>
                <w:i w:val="false"/>
                <w:caps w:val="false"/>
                <w:smallCaps w:val="false"/>
                <w:position w:val="7"/>
                <w:sz w:val="16"/>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2940"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Comparable store sales (decline) growth</w:t>
            </w:r>
            <w:r>
              <w:rPr>
                <w:rFonts w:ascii="Times New Roman;serif" w:hAnsi="Times New Roman;serif"/>
                <w:b w:val="false"/>
                <w:i w:val="false"/>
                <w:caps w:val="false"/>
                <w:smallCaps w:val="false"/>
                <w:position w:val="7"/>
                <w:sz w:val="16"/>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13.8</w:t>
            </w:r>
          </w:p>
        </w:tc>
        <w:tc>
          <w:tcPr>
            <w:tcW w:w="3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29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Stores open at end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140</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142</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142</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142</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143</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ind w:left="490" w:right="0" w:hanging="490"/>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b w:val="false"/>
          <w:i w:val="false"/>
          <w:caps w:val="false"/>
          <w:smallCaps w:val="false"/>
          <w:sz w:val="20"/>
        </w:rPr>
        <w:t>Total debt includes current maturities of long-term debt and long-term debt balances.</w:t>
      </w:r>
    </w:p>
    <w:p>
      <w:pPr>
        <w:pStyle w:val="TextBody"/>
        <w:bidi w:val="0"/>
        <w:spacing w:lineRule="auto" w:line="259"/>
        <w:ind w:left="490" w:right="0" w:hanging="490"/>
        <w:rPr>
          <w:rFonts w:ascii="Times New Roman;serif" w:hAnsi="Times New Roman;serif"/>
          <w:sz w:val="20"/>
        </w:rPr>
      </w:pPr>
      <w:r>
        <w:rPr>
          <w:rFonts w:ascii="Times New Roman;serif" w:hAnsi="Times New Roman;serif"/>
          <w:b w:val="false"/>
          <w:i w:val="false"/>
          <w:caps w:val="false"/>
          <w:smallCaps w:val="false"/>
          <w:position w:val="7"/>
          <w:sz w:val="16"/>
          <w:sz w:val="20"/>
        </w:rPr>
        <w:t>(2)</w:t>
      </w:r>
      <w:r>
        <w:rPr>
          <w:rFonts w:ascii="Times New Roman;serif" w:hAnsi="Times New Roman;serif"/>
          <w:b w:val="false"/>
          <w:i w:val="false"/>
          <w:caps w:val="false"/>
          <w:smallCaps w:val="false"/>
          <w:sz w:val="20"/>
        </w:rPr>
        <w:t xml:space="preserve">We calculate Adjusted EBITDA by taking net (loss)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For more information about Adjusted EBITDA and Adjusted EBITDA margin, see “Non-GAAP Measures” below. </w:t>
      </w:r>
    </w:p>
    <w:p>
      <w:pPr>
        <w:pStyle w:val="TextBody"/>
        <w:bidi w:val="0"/>
        <w:spacing w:lineRule="auto" w:line="259"/>
        <w:ind w:left="490" w:right="0" w:hanging="490"/>
        <w:rPr>
          <w:rFonts w:ascii="Times New Roman;serif" w:hAnsi="Times New Roman;serif"/>
          <w:sz w:val="20"/>
        </w:rPr>
      </w:pPr>
      <w:r>
        <w:rPr>
          <w:rFonts w:ascii="Times New Roman;serif" w:hAnsi="Times New Roman;serif"/>
          <w:b w:val="false"/>
          <w:i w:val="false"/>
          <w:caps w:val="false"/>
          <w:smallCaps w:val="false"/>
          <w:position w:val="7"/>
          <w:sz w:val="16"/>
          <w:sz w:val="20"/>
        </w:rPr>
        <w:t>(3)</w:t>
      </w:r>
      <w:r>
        <w:rPr>
          <w:rFonts w:ascii="Times New Roman;serif" w:hAnsi="Times New Roman;serif"/>
          <w:b w:val="false"/>
          <w:i w:val="false"/>
          <w:caps w:val="false"/>
          <w:smallCaps w:val="false"/>
          <w:sz w:val="20"/>
        </w:rPr>
        <w:t>Gross margin rate is equal to gross profit divided by net sales.</w:t>
      </w:r>
    </w:p>
    <w:p>
      <w:pPr>
        <w:pStyle w:val="TextBody"/>
        <w:bidi w:val="0"/>
        <w:spacing w:lineRule="auto" w:line="259"/>
        <w:ind w:left="490" w:right="0" w:hanging="490"/>
        <w:rPr>
          <w:rFonts w:ascii="Times New Roman;serif" w:hAnsi="Times New Roman;serif"/>
          <w:sz w:val="20"/>
        </w:rPr>
      </w:pPr>
      <w:r>
        <w:rPr>
          <w:rFonts w:ascii="Times New Roman;serif" w:hAnsi="Times New Roman;serif"/>
          <w:b w:val="false"/>
          <w:i w:val="false"/>
          <w:caps w:val="false"/>
          <w:smallCaps w:val="false"/>
          <w:position w:val="7"/>
          <w:sz w:val="16"/>
          <w:sz w:val="20"/>
        </w:rPr>
        <w:t>(4)</w:t>
      </w:r>
      <w:r>
        <w:rPr>
          <w:rFonts w:ascii="Times New Roman;serif" w:hAnsi="Times New Roman;serif"/>
          <w:b w:val="false"/>
          <w:i w:val="false"/>
          <w:caps w:val="false"/>
          <w:smallCaps w:val="false"/>
          <w:sz w:val="20"/>
        </w:rPr>
        <w:t>Operating (loss) income margin is equal to (loss) income from operations divided by net sales.</w:t>
      </w:r>
    </w:p>
    <w:p>
      <w:pPr>
        <w:pStyle w:val="TextBody"/>
        <w:bidi w:val="0"/>
        <w:spacing w:lineRule="auto" w:line="259"/>
        <w:ind w:left="490" w:right="0" w:hanging="490"/>
        <w:rPr>
          <w:rFonts w:ascii="Times New Roman;serif" w:hAnsi="Times New Roman;serif"/>
          <w:sz w:val="20"/>
        </w:rPr>
      </w:pPr>
      <w:r>
        <w:rPr>
          <w:rFonts w:ascii="Times New Roman;serif" w:hAnsi="Times New Roman;serif"/>
          <w:b w:val="false"/>
          <w:i w:val="false"/>
          <w:caps w:val="false"/>
          <w:smallCaps w:val="false"/>
          <w:position w:val="7"/>
          <w:sz w:val="16"/>
          <w:sz w:val="20"/>
        </w:rPr>
        <w:t>(5)</w:t>
      </w:r>
      <w:r>
        <w:rPr>
          <w:rFonts w:ascii="Times New Roman;serif" w:hAnsi="Times New Roman;serif"/>
          <w:b w:val="false"/>
          <w:i w:val="false"/>
          <w:caps w:val="false"/>
          <w:smallCaps w:val="false"/>
          <w:sz w:val="20"/>
        </w:rPr>
        <w:t>Comparable store sales (decline)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(decline) growth amounts include total charges to customers less any actual returns. We include the change in the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Company management believes the comparable store sales (decline) growth metric provides useful information to both management and investors to evaluate the Company’s performance, the effectiveness of its strategy and its competitive position.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Key Components of our Consolidated Statements of Operations</w:t>
      </w:r>
    </w:p>
    <w:p>
      <w:pPr>
        <w:pStyle w:val="TextBody"/>
        <w:bidi w:val="0"/>
        <w:spacing w:lineRule="auto" w:line="259"/>
        <w:rPr>
          <w:rFonts w:ascii="Times New Roman;serif" w:hAnsi="Times New Roman;serif"/>
          <w:sz w:val="20"/>
        </w:rPr>
      </w:pPr>
      <w:r>
        <w:rPr>
          <w:rFonts w:ascii="Times New Roman;serif" w:hAnsi="Times New Roman;serif"/>
          <w:b/>
          <w:i/>
          <w:sz w:val="20"/>
        </w:rPr>
        <w:t>Net Sales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 xml:space="preserve">Net sales represents total charges to customers, net of returns, and includes freight charged to customers. We recognize sales at the time that the 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Comparable store sales (decline) growth is the percentage change in sales of comparable stores period-over-period. A store is considered comparable on the first day of the 13th full month of operation. When a store is relocated, it is excluded from the comparable store sales (decline) growth calculation. Comparable store sales (decline)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Company management believes the comparable store sales (decline) growth metric provides useful information to both management and investors to evaluate the Company’s performance, the effectiveness of its strategy and its competitive position. </w:t>
      </w:r>
    </w:p>
    <w:p>
      <w:pPr>
        <w:pStyle w:val="TextBody"/>
        <w:bidi w:val="0"/>
        <w:spacing w:lineRule="auto" w:line="259"/>
        <w:rPr>
          <w:rFonts w:ascii="Times New Roman;serif" w:hAnsi="Times New Roman;serif"/>
          <w:sz w:val="20"/>
        </w:rPr>
      </w:pPr>
      <w:r>
        <w:rPr>
          <w:rFonts w:ascii="Times New Roman;serif" w:hAnsi="Times New Roman;serif"/>
          <w:b/>
          <w:i/>
          <w:sz w:val="20"/>
        </w:rPr>
        <w:t>Cost of Sales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 xml:space="preserve">Cost of sales consists primarily of material costs, freight, customs and duty fees, and storage and delivery of product to the customers, as well as physical inventory losses and costs associated with manufacturing of setting and maintenance materials. </w:t>
      </w:r>
    </w:p>
    <w:p>
      <w:pPr>
        <w:pStyle w:val="TextBody"/>
        <w:bidi w:val="0"/>
        <w:spacing w:lineRule="auto" w:line="259"/>
        <w:rPr>
          <w:rFonts w:ascii="Times New Roman;serif" w:hAnsi="Times New Roman;serif"/>
          <w:sz w:val="20"/>
        </w:rPr>
      </w:pPr>
      <w:r>
        <w:rPr>
          <w:rFonts w:ascii="Times New Roman;serif" w:hAnsi="Times New Roman;serif"/>
          <w:b/>
          <w:i/>
          <w:sz w:val="20"/>
        </w:rPr>
        <w:t>Gross Profit</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 xml:space="preserve">Gross profit is net sales less cost of sales. Gross margin rate is the percentage determined by dividing gross profit by net sales. </w:t>
      </w:r>
    </w:p>
    <w:p>
      <w:pPr>
        <w:pStyle w:val="TextBody"/>
        <w:bidi w:val="0"/>
        <w:spacing w:lineRule="auto" w:line="259"/>
        <w:rPr>
          <w:rFonts w:ascii="Times New Roman;serif" w:hAnsi="Times New Roman;serif"/>
          <w:sz w:val="20"/>
        </w:rPr>
      </w:pPr>
      <w:r>
        <w:rPr>
          <w:rFonts w:ascii="Times New Roman;serif" w:hAnsi="Times New Roman;serif"/>
          <w:b/>
          <w:i/>
          <w:sz w:val="20"/>
        </w:rPr>
        <w:t>Selling, General and Administrative Expenses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Selling, general and administrative expenses consist primarily of compensation costs, occupancy, utilities, and maintenance costs, advertising costs, shipping and transportation expenses to move inventory from our distribution centers to our stores, and depreciation and amortization.</w:t>
      </w:r>
    </w:p>
    <w:p>
      <w:pPr>
        <w:pStyle w:val="TextBody"/>
        <w:bidi w:val="0"/>
        <w:spacing w:lineRule="auto" w:line="259"/>
        <w:rPr>
          <w:rFonts w:ascii="Times New Roman;serif" w:hAnsi="Times New Roman;serif"/>
          <w:sz w:val="20"/>
        </w:rPr>
      </w:pPr>
      <w:r>
        <w:rPr>
          <w:rFonts w:ascii="Times New Roman;serif" w:hAnsi="Times New Roman;serif"/>
          <w:b/>
          <w:i/>
          <w:sz w:val="20"/>
        </w:rPr>
        <w:t>Income Taxes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 xml:space="preserve">We are subject to income tax in the United States as well as other tax jurisdictions in which we conduct business.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Comparison of the Year Ended December 31, 2025 to the Year Ended December 31, 2024</w:t>
      </w:r>
    </w:p>
    <w:tbl>
      <w:tblPr>
        <w:tblW w:w="8595" w:type="dxa"/>
        <w:jc w:val="left"/>
        <w:tblInd w:w="0" w:type="dxa"/>
        <w:tblLayout w:type="fixed"/>
        <w:tblCellMar>
          <w:top w:w="0" w:type="dxa"/>
          <w:left w:w="0" w:type="dxa"/>
          <w:bottom w:w="0" w:type="dxa"/>
          <w:right w:w="0" w:type="dxa"/>
        </w:tblCellMar>
      </w:tblPr>
      <w:tblGrid>
        <w:gridCol w:w="3736"/>
        <w:gridCol w:w="109"/>
        <w:gridCol w:w="211"/>
        <w:gridCol w:w="853"/>
        <w:gridCol w:w="109"/>
        <w:gridCol w:w="792"/>
        <w:gridCol w:w="333"/>
        <w:gridCol w:w="109"/>
        <w:gridCol w:w="211"/>
        <w:gridCol w:w="853"/>
        <w:gridCol w:w="109"/>
        <w:gridCol w:w="785"/>
        <w:gridCol w:w="385"/>
      </w:tblGrid>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val="false"/>
                <w:i w:val="false"/>
                <w:caps w:val="false"/>
                <w:smallCaps w:val="false"/>
                <w:sz w:val="20"/>
              </w:rPr>
              <w:t>% of sales</w:t>
            </w:r>
            <w:r>
              <w:rPr>
                <w:rFonts w:ascii="Times New Roman;serif" w:hAnsi="Times New Roman;serif"/>
                <w:b w:val="false"/>
                <w:i w:val="false"/>
                <w:caps w:val="false"/>
                <w:smallCaps w:val="false"/>
                <w:position w:val="7"/>
                <w:sz w:val="16"/>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val="false"/>
                <w:i w:val="false"/>
                <w:caps w:val="false"/>
                <w:smallCaps w:val="false"/>
                <w:sz w:val="20"/>
              </w:rPr>
              <w:t>% of sales</w:t>
            </w:r>
            <w:r>
              <w:rPr>
                <w:rFonts w:ascii="Times New Roman;serif" w:hAnsi="Times New Roman;serif"/>
                <w:b w:val="false"/>
                <w:i w:val="false"/>
                <w:caps w:val="false"/>
                <w:smallCaps w:val="false"/>
                <w:position w:val="7"/>
                <w:sz w:val="16"/>
                <w:sz w:val="20"/>
              </w:rPr>
              <w:t>(1)</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0" w:type="dxa"/>
            <w:gridSpan w:val="11"/>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in thousands)</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336,820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w:t>
            </w:r>
          </w:p>
        </w:tc>
        <w:tc>
          <w:tcPr>
            <w:tcW w:w="3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347,071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w:t>
            </w:r>
          </w:p>
        </w:tc>
        <w:tc>
          <w:tcPr>
            <w:tcW w:w="38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121,800</w:t>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36.2</w:t>
            </w:r>
          </w:p>
        </w:tc>
        <w:tc>
          <w:tcPr>
            <w:tcW w:w="333"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119,197</w:t>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34.3</w:t>
            </w:r>
          </w:p>
        </w:tc>
        <w:tc>
          <w:tcPr>
            <w:tcW w:w="385"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215,020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63.8</w:t>
            </w:r>
          </w:p>
        </w:tc>
        <w:tc>
          <w:tcPr>
            <w:tcW w:w="33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227,874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5"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65.7</w:t>
            </w:r>
          </w:p>
        </w:tc>
        <w:tc>
          <w:tcPr>
            <w:tcW w:w="38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220,834</w:t>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65.6</w:t>
            </w:r>
          </w:p>
        </w:tc>
        <w:tc>
          <w:tcPr>
            <w:tcW w:w="333"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224,357</w:t>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64.6</w:t>
            </w:r>
          </w:p>
        </w:tc>
        <w:tc>
          <w:tcPr>
            <w:tcW w:w="385"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c>
          <w:tcPr>
            <w:tcW w:w="33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5"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38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w:t>
            </w:r>
          </w:p>
        </w:tc>
        <w:tc>
          <w:tcPr>
            <w:tcW w:w="3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(275)</w:t>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(0.1)</w:t>
            </w:r>
          </w:p>
        </w:tc>
        <w:tc>
          <w:tcPr>
            <w:tcW w:w="3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c>
          <w:tcPr>
            <w:tcW w:w="33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5"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0.9</w:t>
            </w:r>
          </w:p>
        </w:tc>
        <w:tc>
          <w:tcPr>
            <w:tcW w:w="38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1,361</w:t>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0.4</w:t>
            </w:r>
          </w:p>
        </w:tc>
        <w:tc>
          <w:tcPr>
            <w:tcW w:w="333"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(921)</w:t>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(0.3)</w:t>
            </w:r>
          </w:p>
        </w:tc>
        <w:tc>
          <w:tcPr>
            <w:tcW w:w="385"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tc>
        <w:tc>
          <w:tcPr>
            <w:tcW w:w="33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w:t>
            </w:r>
          </w:p>
        </w:tc>
        <w:tc>
          <w:tcPr>
            <w:tcW w:w="3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ind w:left="360" w:right="0" w:hanging="360"/>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b w:val="false"/>
          <w:i w:val="false"/>
          <w:caps w:val="false"/>
          <w:smallCaps w:val="false"/>
          <w:sz w:val="20"/>
        </w:rPr>
        <w:t>Amounts do not foot due to rounding.</w:t>
      </w:r>
    </w:p>
    <w:p>
      <w:pPr>
        <w:pStyle w:val="TextBody"/>
        <w:bidi w:val="0"/>
        <w:spacing w:lineRule="auto" w:line="259"/>
        <w:rPr>
          <w:rFonts w:ascii="Times New Roman;serif" w:hAnsi="Times New Roman;serif"/>
          <w:sz w:val="20"/>
        </w:rPr>
      </w:pPr>
      <w:r>
        <w:rPr>
          <w:rFonts w:ascii="Times New Roman;serif" w:hAnsi="Times New Roman;serif"/>
          <w:b/>
          <w:i/>
          <w:sz w:val="20"/>
        </w:rPr>
        <w:t>Net Sales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 xml:space="preserve">Net sales decreased $10.3 million, or 3.0%, in 2025 compared to 2024. Sales at comparable stores decreased by 2.8% during 2025. </w:t>
      </w:r>
      <w:bookmarkStart w:id="34" w:name="_Hlk126590296"/>
      <w:bookmarkEnd w:id="34"/>
      <w:r>
        <w:rPr>
          <w:rFonts w:ascii="Times New Roman;serif" w:hAnsi="Times New Roman;serif"/>
          <w:b w:val="false"/>
          <w:i w:val="false"/>
          <w:caps w:val="false"/>
          <w:smallCaps w:val="false"/>
          <w:sz w:val="20"/>
        </w:rPr>
        <w:t xml:space="preserve">The decrease in annual sales was primarily due to a decrease in traffic that was partially offset by a modest improvement in average order value. </w:t>
      </w:r>
    </w:p>
    <w:p>
      <w:pPr>
        <w:pStyle w:val="TextBody"/>
        <w:bidi w:val="0"/>
        <w:spacing w:lineRule="auto" w:line="259"/>
        <w:rPr>
          <w:rFonts w:ascii="Times New Roman;serif" w:hAnsi="Times New Roman;serif"/>
          <w:sz w:val="20"/>
        </w:rPr>
      </w:pPr>
      <w:r>
        <w:rPr>
          <w:rFonts w:ascii="Times New Roman;serif" w:hAnsi="Times New Roman;serif"/>
          <w:b/>
          <w:i/>
          <w:sz w:val="20"/>
        </w:rPr>
        <w:t>Gross Profit</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Gross profit decreased $12.9 million, or 5.6%, in 2025 compared to 2024. The gross margin rate was 63.8% and 65.7% for 2025 and 2024, respectively. The decrease in gross margin rate was primarily due to an increase in product costs, partially attributable to an increase in tariffs, an increase in customer delivery expenses and higher levels of discounting in 2025.</w:t>
      </w:r>
    </w:p>
    <w:p>
      <w:pPr>
        <w:pStyle w:val="TextBody"/>
        <w:bidi w:val="0"/>
        <w:spacing w:lineRule="auto" w:line="259"/>
        <w:rPr>
          <w:rFonts w:ascii="Times New Roman;serif" w:hAnsi="Times New Roman;serif"/>
          <w:sz w:val="20"/>
        </w:rPr>
      </w:pPr>
      <w:bookmarkStart w:id="35" w:name="_Hlk128485622"/>
      <w:bookmarkEnd w:id="35"/>
      <w:r>
        <w:rPr>
          <w:rFonts w:ascii="Times New Roman;serif" w:hAnsi="Times New Roman;serif"/>
          <w:b/>
          <w:i/>
          <w:sz w:val="20"/>
        </w:rPr>
        <w:t>Selling, General and Administrative Expenses</w:t>
      </w:r>
      <w:r>
        <w:rPr>
          <w:rFonts w:ascii="Times New Roman;serif" w:hAnsi="Times New Roman;serif"/>
          <w:caps w:val="false"/>
          <w:smallCaps w:val="false"/>
          <w:sz w:val="20"/>
        </w:rPr>
        <w:t xml:space="preserve"> – </w:t>
      </w:r>
      <w:bookmarkStart w:id="36" w:name="_Hlk127978615"/>
      <w:bookmarkEnd w:id="36"/>
      <w:r>
        <w:rPr>
          <w:rFonts w:ascii="Times New Roman;serif" w:hAnsi="Times New Roman;serif"/>
          <w:b w:val="false"/>
          <w:i w:val="false"/>
          <w:caps w:val="false"/>
          <w:smallCaps w:val="false"/>
          <w:sz w:val="20"/>
        </w:rPr>
        <w:t>Selling, general and administrative expenses decreased $3.5 million, or 1.6%, in 2025 compared to 2024. The decrease was primarily due to a $2.6 million reduction in selling, general and administrative expenses associated with the closure of our New Jersey and Wisconsin distribution centers and a $1.1 million decrease in wages associated with reductions in staffing levels at our corporate offices.  Excluding the impact of the New Jersey and Wisconsin distribution center closures, variable expenses decreased by $1.5 million and depreciation expense decreased by an additional $1.3 million, which were partially offset by a $1.1 million increase due to costs incurred in connection with the delisting process as well as an increase in other legal expenses, a $0.7 million increase in shipping, a $0.5 million increase in IT, a $0.5 million increase in operating supplies and a $0.4 million increase in marketing.</w:t>
      </w:r>
    </w:p>
    <w:p>
      <w:pPr>
        <w:pStyle w:val="TextBody"/>
        <w:bidi w:val="0"/>
        <w:spacing w:lineRule="auto" w:line="259"/>
        <w:rPr>
          <w:rFonts w:ascii="Times New Roman;serif" w:hAnsi="Times New Roman;serif"/>
          <w:sz w:val="20"/>
        </w:rPr>
      </w:pPr>
      <w:r>
        <w:rPr>
          <w:rFonts w:ascii="Times New Roman;serif" w:hAnsi="Times New Roman;serif"/>
          <w:b/>
          <w:i/>
          <w:sz w:val="20"/>
        </w:rPr>
        <w:t>Provision for Income Taxes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The benefit (provision) for income taxes for 2025 and 2024 was $1.4 million and ($0.9) million, respectively. The change in the provision for income taxes was primarily due to taxable income in 2024 and a pretax loss in 2025. Our effective tax rate was 23.2% in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2025 and 28.4% in 2024. The decrease in effective tax rate was largely due to the impact of permanent differences relative to the pretax income or pretax loss generated in each period.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Comparison of the Year Ended December 31, 2024 to the Year Ended December 31, 2023</w:t>
      </w:r>
    </w:p>
    <w:p>
      <w:pPr>
        <w:pStyle w:val="TextBody"/>
        <w:bidi w:val="0"/>
        <w:spacing w:lineRule="auto" w:line="259"/>
        <w:rPr/>
      </w:pPr>
      <w:r>
        <w:rPr>
          <w:rFonts w:ascii="Times New Roman;serif" w:hAnsi="Times New Roman;serif"/>
          <w:b w:val="false"/>
          <w:i w:val="false"/>
          <w:caps w:val="false"/>
          <w:smallCaps w:val="false"/>
          <w:sz w:val="20"/>
          <w:shd w:fill="FFFFFF" w:val="clear"/>
        </w:rPr>
        <w:t xml:space="preserve">A detailed discussion of the fiscal year 2024 performance compared to fiscal year 2023 is set forth in Part II, Item 7. “Management’s Discussion </w:t>
      </w:r>
      <w:r>
        <w:rPr>
          <w:rFonts w:ascii="Times New Roman;serif" w:hAnsi="Times New Roman;serif"/>
          <w:b w:val="false"/>
          <w:i w:val="false"/>
          <w:caps w:val="false"/>
          <w:smallCaps w:val="false"/>
          <w:sz w:val="20"/>
        </w:rPr>
        <w:t>and</w:t>
      </w:r>
      <w:r>
        <w:rPr>
          <w:rFonts w:ascii="Times New Roman;serif" w:hAnsi="Times New Roman;serif"/>
          <w:caps w:val="false"/>
          <w:smallCaps w:val="false"/>
          <w:sz w:val="20"/>
          <w:shd w:fill="FFFFFF" w:val="clear"/>
        </w:rPr>
        <w:t xml:space="preserve"> </w:t>
      </w:r>
      <w:r>
        <w:rPr>
          <w:rFonts w:ascii="Times New Roman;serif" w:hAnsi="Times New Roman;serif"/>
          <w:b w:val="false"/>
          <w:i w:val="false"/>
          <w:caps w:val="false"/>
          <w:smallCaps w:val="false"/>
          <w:sz w:val="20"/>
          <w:shd w:fill="FFFFFF" w:val="clear"/>
        </w:rPr>
        <w:t xml:space="preserve">Analysis of Financial Condition and Results of Operations – Comparison of the Year Ended December 31, 2024 to the Year Ended December 31, 2023,” in our </w:t>
      </w:r>
      <w:hyperlink r:id="rId2">
        <w:r>
          <w:rPr>
            <w:rStyle w:val="InternetLink"/>
            <w:rFonts w:ascii="Times New Roman;serif" w:hAnsi="Times New Roman;serif"/>
            <w:b w:val="false"/>
            <w:i w:val="false"/>
            <w:caps w:val="false"/>
            <w:smallCaps w:val="false"/>
            <w:color w:val="0000FF"/>
            <w:sz w:val="20"/>
            <w:u w:val="single"/>
            <w:shd w:fill="FFFFFF" w:val="clear"/>
          </w:rPr>
          <w:t>Annual Report on Form 10-K for the year ended December 31, 2024,</w:t>
        </w:r>
      </w:hyperlink>
      <w:r>
        <w:rPr>
          <w:rFonts w:ascii="Times New Roman;serif" w:hAnsi="Times New Roman;serif"/>
          <w:caps w:val="false"/>
          <w:smallCaps w:val="false"/>
          <w:sz w:val="20"/>
          <w:shd w:fill="FFFFFF" w:val="clear"/>
        </w:rPr>
        <w:t xml:space="preserve"> </w:t>
      </w:r>
      <w:r>
        <w:rPr>
          <w:rFonts w:ascii="Times New Roman;serif" w:hAnsi="Times New Roman;serif"/>
          <w:b w:val="false"/>
          <w:i w:val="false"/>
          <w:caps w:val="false"/>
          <w:smallCaps w:val="false"/>
          <w:sz w:val="20"/>
          <w:shd w:fill="FFFFFF" w:val="clear"/>
        </w:rPr>
        <w:t>as filed with the SEC on February 27, 2025, which discussion is incorporated herein by reference.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Non-GAAP Measures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calculate Adjusted EBITDA by taking net (loss) income calculated in accordance with GAAP and adjusting for interest expense, income taxes, depreciation and amortization, and stock-based compensation expense. Adjusted EBITDA margin is equal to Adjusted EBITDA divided by net sales. We calculate pretax return on capital employed by taking (loss) income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reconciliation of Adjusted EBITDA to net (loss) income for the years ended December 31, 2021 through December 31, 2025 is as follows:</w:t>
      </w:r>
    </w:p>
    <w:tbl>
      <w:tblPr>
        <w:tblW w:w="8431" w:type="dxa"/>
        <w:jc w:val="left"/>
        <w:tblInd w:w="0" w:type="dxa"/>
        <w:tblLayout w:type="fixed"/>
        <w:tblCellMar>
          <w:top w:w="0" w:type="dxa"/>
          <w:left w:w="0" w:type="dxa"/>
          <w:bottom w:w="0" w:type="dxa"/>
          <w:right w:w="0" w:type="dxa"/>
        </w:tblCellMar>
      </w:tblPr>
      <w:tblGrid>
        <w:gridCol w:w="3046"/>
        <w:gridCol w:w="109"/>
        <w:gridCol w:w="211"/>
        <w:gridCol w:w="748"/>
        <w:gridCol w:w="109"/>
        <w:gridCol w:w="211"/>
        <w:gridCol w:w="748"/>
        <w:gridCol w:w="109"/>
        <w:gridCol w:w="211"/>
        <w:gridCol w:w="748"/>
        <w:gridCol w:w="109"/>
        <w:gridCol w:w="211"/>
        <w:gridCol w:w="748"/>
        <w:gridCol w:w="109"/>
        <w:gridCol w:w="211"/>
        <w:gridCol w:w="793"/>
      </w:tblGrid>
      <w:tr>
        <w:trPr/>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6" w:type="dxa"/>
            <w:gridSpan w:val="14"/>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Years Ended December 31,</w:t>
            </w:r>
          </w:p>
        </w:tc>
      </w:tr>
      <w:tr>
        <w:trPr/>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2021</w:t>
            </w:r>
          </w:p>
        </w:tc>
      </w:tr>
      <w:tr>
        <w:trPr/>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6" w:type="dxa"/>
            <w:gridSpan w:val="14"/>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w:t>
            </w:r>
          </w:p>
        </w:tc>
      </w:tr>
      <w:tr>
        <w:trPr/>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14,774</w:t>
            </w:r>
          </w:p>
        </w:tc>
      </w:tr>
      <w:tr>
        <w:trPr/>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656</w:t>
            </w:r>
          </w:p>
        </w:tc>
      </w:tr>
      <w:tr>
        <w:trPr/>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(Benefit) Provision for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5,180</w:t>
            </w:r>
          </w:p>
        </w:tc>
      </w:tr>
      <w:tr>
        <w:trPr/>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 &amp;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21,229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25,142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27,379</w:t>
            </w:r>
          </w:p>
        </w:tc>
      </w:tr>
      <w:tr>
        <w:trPr/>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2,266</w:t>
            </w:r>
          </w:p>
        </w:tc>
      </w:tr>
      <w:tr>
        <w:trPr/>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38,779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49,583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50,255</w:t>
            </w:r>
          </w:p>
        </w:tc>
      </w:tr>
      <w:tr>
        <w:trPr/>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4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4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4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4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9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Adjusted EBITDA as a percentage of net sales for the years ended December 31, 2021 through December 31, 2025 is as follows:</w:t>
      </w:r>
    </w:p>
    <w:tbl>
      <w:tblPr>
        <w:tblW w:w="7550" w:type="dxa"/>
        <w:jc w:val="left"/>
        <w:tblInd w:w="0" w:type="dxa"/>
        <w:tblLayout w:type="fixed"/>
        <w:tblCellMar>
          <w:top w:w="0" w:type="dxa"/>
          <w:left w:w="0" w:type="dxa"/>
          <w:bottom w:w="0" w:type="dxa"/>
          <w:right w:w="0" w:type="dxa"/>
        </w:tblCellMar>
      </w:tblPr>
      <w:tblGrid>
        <w:gridCol w:w="3046"/>
        <w:gridCol w:w="109"/>
        <w:gridCol w:w="481"/>
        <w:gridCol w:w="271"/>
        <w:gridCol w:w="109"/>
        <w:gridCol w:w="452"/>
        <w:gridCol w:w="283"/>
        <w:gridCol w:w="109"/>
        <w:gridCol w:w="538"/>
        <w:gridCol w:w="271"/>
        <w:gridCol w:w="109"/>
        <w:gridCol w:w="538"/>
        <w:gridCol w:w="271"/>
        <w:gridCol w:w="109"/>
        <w:gridCol w:w="538"/>
        <w:gridCol w:w="316"/>
      </w:tblGrid>
      <w:tr>
        <w:trPr/>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5" w:type="dxa"/>
            <w:gridSpan w:val="14"/>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Years Ended December 31,</w:t>
            </w:r>
          </w:p>
        </w:tc>
      </w:tr>
      <w:tr>
        <w:trPr/>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val="false"/>
                <w:i w:val="false"/>
                <w:caps w:val="false"/>
                <w:smallCaps w:val="false"/>
                <w:sz w:val="20"/>
              </w:rPr>
              <w:t>2024</w:t>
            </w:r>
            <w:r>
              <w:rPr>
                <w:rFonts w:ascii="Times New Roman;serif" w:hAnsi="Times New Roman;serif"/>
                <w:b w:val="false"/>
                <w:i w:val="false"/>
                <w:caps w:val="false"/>
                <w:smallCaps w:val="false"/>
                <w:position w:val="7"/>
                <w:sz w:val="16"/>
                <w:sz w:val="20"/>
              </w:rPr>
              <w:t>(1)</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2021</w:t>
            </w:r>
          </w:p>
        </w:tc>
      </w:tr>
      <w:tr>
        <w:trPr/>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5" w:type="dxa"/>
            <w:gridSpan w:val="14"/>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of net sales</w:t>
            </w:r>
          </w:p>
        </w:tc>
      </w:tr>
      <w:tr>
        <w:trPr/>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w:t>
            </w:r>
          </w:p>
        </w:tc>
        <w:tc>
          <w:tcPr>
            <w:tcW w:w="2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0.1</w:t>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0.4</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0.2</w:t>
            </w:r>
          </w:p>
        </w:tc>
        <w:tc>
          <w:tcPr>
            <w:tcW w:w="31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(Benefit) Provision for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(0.4)</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0.3</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 &amp; amortization</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w:t>
            </w:r>
          </w:p>
        </w:tc>
        <w:tc>
          <w:tcPr>
            <w:tcW w:w="31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0.4</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2"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0.4</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0.4</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w:t>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tc>
        <w:tc>
          <w:tcPr>
            <w:tcW w:w="2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w:t>
            </w:r>
          </w:p>
        </w:tc>
        <w:tc>
          <w:tcPr>
            <w:tcW w:w="28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w:t>
            </w:r>
          </w:p>
        </w:tc>
        <w:tc>
          <w:tcPr>
            <w:tcW w:w="2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w:t>
            </w:r>
          </w:p>
        </w:tc>
        <w:tc>
          <w:tcPr>
            <w:tcW w:w="2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w:t>
            </w:r>
          </w:p>
        </w:tc>
        <w:tc>
          <w:tcPr>
            <w:tcW w:w="3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ind w:left="360" w:right="0" w:hanging="360"/>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b w:val="false"/>
          <w:i w:val="false"/>
          <w:caps w:val="false"/>
          <w:smallCaps w:val="false"/>
          <w:sz w:val="20"/>
        </w:rPr>
        <w:t>Amounts do not foot due to rounding.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calculation of pretax return on capital employed is as follows:</w:t>
      </w:r>
    </w:p>
    <w:tbl>
      <w:tblPr>
        <w:tblW w:w="5503" w:type="dxa"/>
        <w:jc w:val="left"/>
        <w:tblInd w:w="0" w:type="dxa"/>
        <w:tblLayout w:type="fixed"/>
        <w:tblCellMar>
          <w:top w:w="0" w:type="dxa"/>
          <w:left w:w="0" w:type="dxa"/>
          <w:bottom w:w="0" w:type="dxa"/>
          <w:right w:w="0" w:type="dxa"/>
        </w:tblCellMar>
      </w:tblPr>
      <w:tblGrid>
        <w:gridCol w:w="3016"/>
        <w:gridCol w:w="109"/>
        <w:gridCol w:w="211"/>
        <w:gridCol w:w="901"/>
        <w:gridCol w:w="109"/>
        <w:gridCol w:w="211"/>
        <w:gridCol w:w="946"/>
      </w:tblGrid>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2378" w:type="dxa"/>
            <w:gridSpan w:val="5"/>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val="false"/>
                <w:i w:val="false"/>
                <w:caps w:val="false"/>
                <w:smallCaps w:val="false"/>
                <w:color w:val="000000"/>
                <w:sz w:val="20"/>
              </w:rPr>
              <w:t>2025</w:t>
            </w:r>
            <w:r>
              <w:rPr>
                <w:rFonts w:ascii="Times New Roman;serif" w:hAnsi="Times New Roman;serif"/>
                <w:b w:val="false"/>
                <w:i w:val="false"/>
                <w:caps w:val="false"/>
                <w:smallCaps w:val="false"/>
                <w:color w:val="000000"/>
                <w:position w:val="7"/>
                <w:sz w:val="16"/>
                <w:sz w:val="20"/>
              </w:rPr>
              <w:t>(1)</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val="false"/>
                <w:i w:val="false"/>
                <w:caps w:val="false"/>
                <w:smallCaps w:val="false"/>
                <w:color w:val="000000"/>
                <w:sz w:val="20"/>
              </w:rPr>
              <w:t>2024</w:t>
            </w:r>
            <w:r>
              <w:rPr>
                <w:rFonts w:ascii="Times New Roman;serif" w:hAnsi="Times New Roman;serif"/>
                <w:b w:val="false"/>
                <w:i w:val="false"/>
                <w:caps w:val="false"/>
                <w:smallCaps w:val="false"/>
                <w:color w:val="000000"/>
                <w:position w:val="7"/>
                <w:sz w:val="16"/>
                <w:sz w:val="20"/>
              </w:rPr>
              <w:t>(1)</w:t>
            </w:r>
          </w:p>
        </w:tc>
      </w:tr>
      <w:tr>
        <w:trPr/>
        <w:tc>
          <w:tcPr>
            <w:tcW w:w="30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(Loss) 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3,517</w:t>
            </w:r>
          </w:p>
        </w:tc>
      </w:tr>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316,517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322,131</w:t>
            </w:r>
          </w:p>
        </w:tc>
      </w:tr>
      <w:tr>
        <w:trPr/>
        <w:tc>
          <w:tcPr>
            <w:tcW w:w="301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(25,581)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(22,842)</w:t>
            </w:r>
          </w:p>
        </w:tc>
      </w:tr>
      <w:tr>
        <w:trPr/>
        <w:tc>
          <w:tcPr>
            <w:tcW w:w="301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Income tax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(375)</w:t>
            </w:r>
          </w:p>
        </w:tc>
      </w:tr>
      <w:tr>
        <w:trPr/>
        <w:tc>
          <w:tcPr>
            <w:tcW w:w="301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(27,222)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(30,481)</w:t>
            </w:r>
          </w:p>
        </w:tc>
      </w:tr>
      <w:tr>
        <w:trPr/>
        <w:tc>
          <w:tcPr>
            <w:tcW w:w="301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(138,181)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(141,157)</w:t>
            </w:r>
          </w:p>
        </w:tc>
      </w:tr>
      <w:tr>
        <w:trPr/>
        <w:tc>
          <w:tcPr>
            <w:tcW w:w="301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(4,716)</w:t>
            </w:r>
          </w:p>
        </w:tc>
      </w:tr>
      <w:tr>
        <w:trPr/>
        <w:tc>
          <w:tcPr>
            <w:tcW w:w="30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 Employed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120,469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122,560</w:t>
            </w:r>
          </w:p>
        </w:tc>
      </w:tr>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4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0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Pretax Return on Capital Employed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r>
    </w:tbl>
    <w:p>
      <w:pPr>
        <w:pStyle w:val="TextBody"/>
        <w:bidi w:val="0"/>
        <w:spacing w:lineRule="auto" w:line="259"/>
        <w:ind w:left="360" w:right="0" w:hanging="360"/>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b w:val="false"/>
          <w:i w:val="false"/>
          <w:caps w:val="false"/>
          <w:smallCaps w:val="false"/>
          <w:sz w:val="20"/>
        </w:rPr>
        <w:t>Income statement accounts represent the activity for the trailing twelve months ended as of each of the balance sheet dates. Balance sheet accounts represent the average account balance for the four quarters ended as of each of the balance sheet dates.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principal sources of liquidity include $10.1 million of cash and cash equivalents at December 31, 2025, cash provided by operating activities and borrowings available under our credit facility. </w:t>
      </w:r>
      <w:bookmarkStart w:id="37" w:name="_Hlk159917650"/>
      <w:bookmarkEnd w:id="37"/>
      <w:r>
        <w:rPr>
          <w:rFonts w:ascii="Times New Roman;serif" w:hAnsi="Times New Roman;serif"/>
          <w:b w:val="false"/>
          <w:i w:val="false"/>
          <w:caps w:val="false"/>
          <w:smallCaps w:val="false"/>
          <w:sz w:val="20"/>
        </w:rPr>
        <w:t>We expect to use this liquidity for maintaining our existing stores, purchasing additional merchandise inventory, and general corporate purposes.</w:t>
      </w:r>
    </w:p>
    <w:p>
      <w:pPr>
        <w:pStyle w:val="TextBody"/>
        <w:bidi w:val="0"/>
        <w:spacing w:lineRule="auto" w:line="259"/>
        <w:jc w:val="center"/>
        <w:rPr>
          <w:rFonts w:ascii="Times New Roman;serif" w:hAnsi="Times New Roman;serif"/>
          <w:b w:val="false"/>
          <w:i w:val="false"/>
          <w:caps w:val="false"/>
          <w:smallCaps w:val="false"/>
          <w:sz w:val="20"/>
        </w:rPr>
      </w:pPr>
      <w:bookmarkStart w:id="38" w:name="_Hlk125977229"/>
      <w:bookmarkEnd w:id="38"/>
      <w:r>
        <w:rPr>
          <w:rFonts w:ascii="Times New Roman;serif" w:hAnsi="Times New Roman;serif"/>
          <w:b w:val="false"/>
          <w:i w:val="false"/>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September 30, 2022, Holdings and its operating subsidiary, The Tile Shop, and certain subsidiaries of each entered into a Credit Agreement with JPMorgan Chase Bank, N.A. and the lenders party thereto, including Fifth Third Bank (as amended, the “Credit Agreement”). The Credit Agreement provides us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Rent Adjusted Leverage Ratio (as defined in the Credit Agreement). Borrowings outstanding as of December 31, 2025 were SOFR-based interest rate loans. The SOFR-based interest rate was 5.72% on December 31,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Credit Agreement is secured by virtually all of our assets, including but not limited to, inventory, accounts receivable, equipment and general intangibles. The Credit Agreement contains customary events of default, conditions to borrowing and restrictive covenants, including restrictions on our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The Company was not in compliance with the covenants as of December 31, 2025 but received a waiver by the lenders January 28, 2026, which put the Company in compliance with the covenants.</w:t>
      </w:r>
    </w:p>
    <w:p>
      <w:pPr>
        <w:pStyle w:val="TextBody"/>
        <w:bidi w:val="0"/>
        <w:spacing w:lineRule="auto" w:line="259"/>
        <w:ind w:left="0" w:right="144" w:hanging="0"/>
        <w:rPr>
          <w:rFonts w:ascii="Times New Roman;serif" w:hAnsi="Times New Roman;serif"/>
          <w:sz w:val="20"/>
        </w:rPr>
      </w:pPr>
      <w:r>
        <w:rPr>
          <w:rFonts w:ascii="Times New Roman;serif" w:hAnsi="Times New Roman;serif"/>
          <w:b w:val="false"/>
          <w:i w:val="false"/>
          <w:caps w:val="false"/>
          <w:smallCaps w:val="false"/>
          <w:sz w:val="20"/>
        </w:rPr>
        <w:t xml:space="preserve">Borrowings outstanding consisted of $25.0 million on our line of credit as of December 31, 2025. </w:t>
      </w:r>
      <w:r>
        <w:rPr>
          <w:rFonts w:ascii="Times New Roman;serif" w:hAnsi="Times New Roman;serif"/>
          <w:b w:val="false"/>
          <w:i w:val="false"/>
          <w:caps w:val="false"/>
          <w:smallCaps w:val="false"/>
          <w:color w:val="000000"/>
          <w:sz w:val="20"/>
        </w:rPr>
        <w:t>We have standby letters of credit outstanding related to our workers’ compensation and medical insurance policies.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 of December 31, 2025, standby letters of credit totaled $1.2 million, leaving $48.8 million available for borrowing on the revolving line of credit, </w:t>
      </w:r>
      <w:bookmarkStart w:id="39" w:name="_Hlk159917390"/>
      <w:bookmarkEnd w:id="39"/>
      <w:r>
        <w:rPr>
          <w:rFonts w:ascii="Times New Roman;serif" w:hAnsi="Times New Roman;serif"/>
          <w:b w:val="false"/>
          <w:i w:val="false"/>
          <w:caps w:val="false"/>
          <w:smallCaps w:val="false"/>
          <w:sz w:val="20"/>
        </w:rPr>
        <w:t xml:space="preserve">which may be used for maintaining our existing stores, purchasing additional merchandise inventory, and general corporate purposes. </w:t>
      </w:r>
    </w:p>
    <w:p>
      <w:pPr>
        <w:pStyle w:val="TextBody"/>
        <w:bidi w:val="0"/>
        <w:spacing w:lineRule="auto" w:line="259"/>
        <w:ind w:left="0" w:right="144"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December 15, 2025, the Company effected the Reverse Stock Split. As a result of the Reverse Stock Split, each stockholder of record owning fewer than 3,000 shares of common stock immediately prior to the effective time of the Reverse Stock Split became entitled to receive $6.60, without interest, in cash for each whole share of Common Stock held by such stockholder at the effective time of the Reverse Stock Split (the “Cashed-Out Stockholders”). Following the completion of the Reverse Stock Split, the Company paid an aggregate of approximately $32.2 million to the Cashed-Out Stockholders, including to stockholders holding through banks and brokers, of which $32.0 million was paid in the fourth quarter of 2025, with the remainder paid during the first quarter of 2026, using a combination of cash on hand and borrowings under the Company’s line of credit.</w:t>
      </w:r>
    </w:p>
    <w:p>
      <w:pPr>
        <w:pStyle w:val="TextBody"/>
        <w:bidi w:val="0"/>
        <w:spacing w:lineRule="auto" w:line="259"/>
        <w:ind w:left="0" w:right="144" w:hanging="0"/>
        <w:rPr>
          <w:rFonts w:ascii="Times New Roman;serif" w:hAnsi="Times New Roman;serif"/>
          <w:sz w:val="20"/>
        </w:rPr>
      </w:pPr>
      <w:r>
        <w:rPr>
          <w:rFonts w:ascii="Times New Roman;serif" w:hAnsi="Times New Roman;serif"/>
          <w:b w:val="false"/>
          <w:i w:val="false"/>
          <w:caps w:val="false"/>
          <w:smallCaps w:val="false"/>
          <w:sz w:val="20"/>
        </w:rPr>
        <w:t xml:space="preserve">During 2026, we expect to use cash for maintaining our existing stores, purchasing additional merchandise inventory, and general corporate purposes. Additionally, as described further in Note 6 of the Notes to the Consolidated Financial Statements, as of December 31, 2025, our lease liability under operating leases totaled $134.8 million. Contractual lease payments range from $13.9 million to $39.6 million on an annual basis over the next five years. We are also obligated to fund certain self-insured employee benefits, including our medical and workers’ compensation plans. As of December 31, 2025, accrual balances related to our estimated workers’ compensation claims and medical claims totaled $1.4 million and $0.6 million, respectively. Additionally, we have contractual obligations related to software service arrangements with suppliers for fixed or minimum amounts. </w:t>
      </w:r>
      <w:bookmarkStart w:id="40" w:name="_Hlk190071651"/>
      <w:bookmarkEnd w:id="40"/>
      <w:r>
        <w:rPr>
          <w:rFonts w:ascii="Times New Roman;serif" w:hAnsi="Times New Roman;serif"/>
          <w:b w:val="false"/>
          <w:i w:val="false"/>
          <w:caps w:val="false"/>
          <w:smallCaps w:val="false"/>
          <w:sz w:val="20"/>
        </w:rPr>
        <w:t>Future minimum payments at December 31, 2025 for purchase obligations were $2.7 million. Amounts due under these arrangements in 2026, 2027, and 2028 total $1.2 million, $1.1 million, and $0.4 million, respectively.</w:t>
      </w:r>
    </w:p>
    <w:p>
      <w:pPr>
        <w:pStyle w:val="TextBody"/>
        <w:bidi w:val="0"/>
        <w:spacing w:lineRule="auto" w:line="259"/>
        <w:ind w:left="0" w:right="144"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currently believe that our cash and cash equivalents, cash flows from operations and access to cash under our credit facility will be adequate to meet our ongoing operating requirements over the next twelve months and our long-term liquidity requirements.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Capital Expenditures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our capital expenditures during the years ended December 31, 2025, 2024 and 2023.</w:t>
      </w:r>
    </w:p>
    <w:tbl>
      <w:tblPr>
        <w:tblW w:w="9190" w:type="dxa"/>
        <w:jc w:val="left"/>
        <w:tblInd w:w="0" w:type="dxa"/>
        <w:tblLayout w:type="fixed"/>
        <w:tblCellMar>
          <w:top w:w="0" w:type="dxa"/>
          <w:left w:w="0" w:type="dxa"/>
          <w:bottom w:w="0" w:type="dxa"/>
          <w:right w:w="0" w:type="dxa"/>
        </w:tblCellMar>
      </w:tblPr>
      <w:tblGrid>
        <w:gridCol w:w="6676"/>
        <w:gridCol w:w="109"/>
        <w:gridCol w:w="211"/>
        <w:gridCol w:w="433"/>
        <w:gridCol w:w="109"/>
        <w:gridCol w:w="211"/>
        <w:gridCol w:w="538"/>
        <w:gridCol w:w="109"/>
        <w:gridCol w:w="211"/>
        <w:gridCol w:w="583"/>
      </w:tblGrid>
      <w:tr>
        <w:trPr/>
        <w:tc>
          <w:tcPr>
            <w:tcW w:w="6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6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6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5" w:type="dxa"/>
            <w:gridSpan w:val="8"/>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Years Ended December 31,</w:t>
            </w:r>
          </w:p>
        </w:tc>
      </w:tr>
      <w:tr>
        <w:trPr/>
        <w:tc>
          <w:tcPr>
            <w:tcW w:w="6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r>
      <w:tr>
        <w:trPr/>
        <w:tc>
          <w:tcPr>
            <w:tcW w:w="6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5" w:type="dxa"/>
            <w:gridSpan w:val="8"/>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millions)</w:t>
            </w:r>
          </w:p>
        </w:tc>
      </w:tr>
      <w:tr>
        <w:trPr/>
        <w:tc>
          <w:tcPr>
            <w:tcW w:w="66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New store building, existing store remodels and store merchandising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3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3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8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w:t>
            </w:r>
          </w:p>
        </w:tc>
      </w:tr>
      <w:tr>
        <w:trPr/>
        <w:tc>
          <w:tcPr>
            <w:tcW w:w="66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Information technology infrastructure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r>
      <w:tr>
        <w:trPr/>
        <w:tc>
          <w:tcPr>
            <w:tcW w:w="66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Distribution and manufacturing facilities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43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8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r>
      <w:tr>
        <w:trPr/>
        <w:tc>
          <w:tcPr>
            <w:tcW w:w="6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3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3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8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15.3</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capital expenditure plan includes store refresh and remodels, information technology upgrades or enhancements, and replacing equipment at our stores and distribution centers. Our capital requirements will vary based on the number of stores that we choose to renovate or degree of investment in new technology. Our decisions regarding opening, relocating, or renovating stores, and whether to engage in strategic acquisitions, will be based in part on macroeconomic factors and the general state of the U.S. economy, as well as the local economies in the markets in which our stores are located.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ind w:left="0" w:right="922" w:hanging="0"/>
        <w:rPr>
          <w:rFonts w:ascii="Times New Roman;serif" w:hAnsi="Times New Roman;serif"/>
          <w:b/>
          <w:i w:val="false"/>
          <w:caps w:val="false"/>
          <w:smallCaps w:val="false"/>
          <w:sz w:val="20"/>
        </w:rPr>
      </w:pPr>
      <w:bookmarkStart w:id="41" w:name="_Hlk126068048"/>
      <w:bookmarkEnd w:id="41"/>
      <w:r>
        <w:rPr>
          <w:rFonts w:ascii="Times New Roman;serif" w:hAnsi="Times New Roman;serif"/>
          <w:b/>
          <w:i w:val="false"/>
          <w:caps w:val="false"/>
          <w:smallCaps w:val="false"/>
          <w:sz w:val="20"/>
        </w:rPr>
        <w:t>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our cash flow for the years ended December 31, 2025, 2024 and 2023.</w:t>
      </w:r>
    </w:p>
    <w:tbl>
      <w:tblPr>
        <w:tblW w:w="6754" w:type="dxa"/>
        <w:jc w:val="left"/>
        <w:tblInd w:w="0" w:type="dxa"/>
        <w:tblLayout w:type="fixed"/>
        <w:tblCellMar>
          <w:top w:w="0" w:type="dxa"/>
          <w:left w:w="0" w:type="dxa"/>
          <w:bottom w:w="0" w:type="dxa"/>
          <w:right w:w="0" w:type="dxa"/>
        </w:tblCellMar>
      </w:tblPr>
      <w:tblGrid>
        <w:gridCol w:w="3466"/>
        <w:gridCol w:w="109"/>
        <w:gridCol w:w="211"/>
        <w:gridCol w:w="691"/>
        <w:gridCol w:w="109"/>
        <w:gridCol w:w="211"/>
        <w:gridCol w:w="796"/>
        <w:gridCol w:w="109"/>
        <w:gridCol w:w="211"/>
        <w:gridCol w:w="841"/>
      </w:tblGrid>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9" w:type="dxa"/>
            <w:gridSpan w:val="8"/>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year ended December 31,</w:t>
            </w:r>
          </w:p>
        </w:tc>
      </w:tr>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r>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9" w:type="dxa"/>
            <w:gridSpan w:val="8"/>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27,107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62,060</w:t>
            </w:r>
          </w:p>
        </w:tc>
      </w:tr>
      <w:tr>
        <w:trPr/>
        <w:tc>
          <w:tcPr>
            <w:tcW w:w="3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(9,366)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(14,336)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(15,255)</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(45,928)</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Operating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flows from operating activities provide us with a significant source of liquidity. Net cash provided by operating activities was $5.8 million, $27.1 million, and $62.1 million in 2025, 2024 and 2023, respectively. The decrease in operating cash flows in 2025 compared to 2024 was primarily due to an increase in inventory in 2025 compared to a decrease in inventory in 2024, a decrease in net income, and a decrease in depreciation expense.</w:t>
      </w:r>
    </w:p>
    <w:p>
      <w:pPr>
        <w:pStyle w:val="TextBody"/>
        <w:bidi w:val="0"/>
        <w:spacing w:lineRule="auto" w:line="259"/>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investing activities was $9.4 million, $14.3 million and $15.3 million in 2025, 2024 and 2023, respectively. The decrease in investing activities in 2025 was due to lower levels of capital expenditures during 2025 to invest in store remodels, store merchandising, distribution, and internal fleet.</w:t>
      </w:r>
    </w:p>
    <w:p>
      <w:pPr>
        <w:pStyle w:val="TextBody"/>
        <w:bidi w:val="0"/>
        <w:spacing w:lineRule="auto" w:line="259"/>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financing activities was $7.3 million, $0.5 million and $45.9 million in 2025, 2024 and 2023, respectively. The increase in cash used in financing activities was attributable to $32.0 million paid to repurchase shares during 2025 that was partially offset by $25.0 million of borrowings on our revolving line of credit.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Critical Accounting Estimates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financial statements are prepared in accordance with GAAP. The preparation of our financial statements and related disclosures requires us to make estimates, assumptions, and judgments that affect the reported amount of assets, liabilities, revenues, costs and expenses, and related disclosures. We base our estimates and assumptions on historical experience and other factors that we believe to be reasonable under the circumstances, but all such estimates and assumptions are inherently uncertain and unpredictable. We evaluate our estimates and assumptions on an ongoing basis. Actual results may differ from those estimates and assumptions, and it is possible that other professionals, applying their own judgment to the same facts and circumstances, could develop and support alternative estimates and assumptions that would result in material changes to our operating results and financial condition. Our most critical accounting estimates are summarized below. For further information on our critical and other significant accounting policies, see the notes to the consolidated financial statements included in this report.</w:t>
      </w:r>
    </w:p>
    <w:p>
      <w:pPr>
        <w:pStyle w:val="TextBody"/>
        <w:bidi w:val="0"/>
        <w:spacing w:lineRule="auto" w:line="259"/>
        <w:rPr>
          <w:rFonts w:ascii="Times New Roman;serif" w:hAnsi="Times New Roman;serif"/>
          <w:b/>
          <w:i/>
          <w:sz w:val="20"/>
        </w:rPr>
      </w:pPr>
      <w:r>
        <w:rPr>
          <w:rFonts w:ascii="Times New Roman;serif" w:hAnsi="Times New Roman;serif"/>
          <w:b/>
          <w:i/>
          <w:sz w:val="20"/>
        </w:rPr>
        <w:t>Recognition of Revenue</w:t>
      </w:r>
    </w:p>
    <w:p>
      <w:pPr>
        <w:pStyle w:val="TextBody"/>
        <w:bidi w:val="0"/>
        <w:spacing w:lineRule="auto" w:line="259"/>
        <w:rPr>
          <w:rFonts w:ascii="Times New Roman;serif" w:hAnsi="Times New Roman;serif"/>
          <w:sz w:val="20"/>
        </w:rPr>
      </w:pPr>
      <w:r>
        <w:rPr>
          <w:rFonts w:ascii="Times New Roman;serif" w:hAnsi="Times New Roman;serif"/>
          <w:b w:val="false"/>
          <w:i/>
          <w:sz w:val="20"/>
        </w:rPr>
        <w:t>Description: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Revenues are recognized when control of promised goods or services is transferred to our customers, in an amount that reflects the consideration received in exchange for those goods or services. We recognize service revenue, which consists primarily of freight charges for home delivery, when the service has been rendered. We are required to charge and collect sales and other taxes on sales to our customers and remit these taxes back to government authorities. Total revenues do not include sales tax because we are a pass-through conduit for collecting and remitting sales tax. </w:t>
      </w:r>
    </w:p>
    <w:p>
      <w:pPr>
        <w:pStyle w:val="TextBody"/>
        <w:bidi w:val="0"/>
        <w:spacing w:lineRule="auto" w:line="259"/>
        <w:rPr>
          <w:rFonts w:ascii="Times New Roman;serif" w:hAnsi="Times New Roman;serif"/>
          <w:sz w:val="20"/>
        </w:rPr>
      </w:pPr>
      <w:r>
        <w:rPr>
          <w:rFonts w:ascii="Times New Roman;serif" w:hAnsi="Times New Roman;serif"/>
          <w:b w:val="false"/>
          <w:i/>
          <w:sz w:val="20"/>
        </w:rPr>
        <w:t xml:space="preserve">Judgement and uncertainties involved in the estimate: </w:t>
      </w:r>
      <w:r>
        <w:rPr>
          <w:rFonts w:ascii="Times New Roman;serif" w:hAnsi="Times New Roman;serif"/>
          <w:b w:val="false"/>
          <w:i w:val="false"/>
          <w:caps w:val="false"/>
          <w:smallCaps w:val="false"/>
          <w:sz w:val="20"/>
        </w:rPr>
        <w:t xml:space="preserve">Net sales are reduced by an allowance for anticipated sales returns that we estimate based on historical returns. Our process to establish a sales return reserve contains uncertainties because it requires management to make assumptions and to apply judgment to estimate future sales returns and exchanges. Merchandise exchanges are not considered merchandise returns and, therefore, are excluded when calculating the sales returns reserve. </w:t>
      </w:r>
    </w:p>
    <w:p>
      <w:pPr>
        <w:pStyle w:val="TextBody"/>
        <w:bidi w:val="0"/>
        <w:spacing w:lineRule="auto" w:line="259"/>
        <w:rPr>
          <w:rFonts w:ascii="Times New Roman;serif" w:hAnsi="Times New Roman;serif"/>
          <w:sz w:val="20"/>
        </w:rPr>
      </w:pPr>
      <w:r>
        <w:rPr>
          <w:rFonts w:ascii="Times New Roman;serif" w:hAnsi="Times New Roman;serif"/>
          <w:b w:val="false"/>
          <w:i/>
          <w:sz w:val="20"/>
        </w:rPr>
        <w:t>Effect if actual results differ from the assumptions: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Actual return trends have not varied significantly from estimated amounts in prior periods. However, if the nature of sales returns changes significantly, our sales could be adversely impacted. A 10% change in our sales returns reserves and related return assets at December 31, 2025 would have had a $0.2 million net impact on operating income during fiscal 2025.</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Inventory Valuation and Shrinkage </w:t>
      </w:r>
    </w:p>
    <w:p>
      <w:pPr>
        <w:pStyle w:val="TextBody"/>
        <w:bidi w:val="0"/>
        <w:spacing w:lineRule="auto" w:line="259"/>
        <w:rPr>
          <w:rFonts w:ascii="Times New Roman;serif" w:hAnsi="Times New Roman;serif"/>
          <w:sz w:val="20"/>
        </w:rPr>
      </w:pPr>
      <w:r>
        <w:rPr>
          <w:rFonts w:ascii="Times New Roman;serif" w:hAnsi="Times New Roman;serif"/>
          <w:b w:val="false"/>
          <w:i/>
          <w:sz w:val="20"/>
        </w:rPr>
        <w:t>Description: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Our inventory consists of purchased merchandise held for resale and manufactured items. Inventories are stated at the lower of cost (determined using the moving average cost method) or net realizable value. We capitalize the cost of inbound freight, duties, and receiving and handling costs to bring purchased materials into our distribution network. The labor and overhead costs incurred in connection with the production process are included in the value of manufactured finished goods.</w:t>
      </w:r>
    </w:p>
    <w:p>
      <w:pPr>
        <w:pStyle w:val="TextBody"/>
        <w:bidi w:val="0"/>
        <w:spacing w:lineRule="auto" w:line="259"/>
        <w:rPr>
          <w:rFonts w:ascii="Times New Roman;serif" w:hAnsi="Times New Roman;serif"/>
          <w:sz w:val="20"/>
        </w:rPr>
      </w:pPr>
      <w:r>
        <w:rPr>
          <w:rFonts w:ascii="Times New Roman;serif" w:hAnsi="Times New Roman;serif"/>
          <w:b w:val="false"/>
          <w:i/>
          <w:sz w:val="20"/>
        </w:rPr>
        <w:t>Judgement and uncertainties involved in the estimate: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We provide provisions for losses related to shrinkage and other amounts that are otherwise not expected to be fully recoverable. These provisions are calculated based on historical shrinkage, selling price, margin and current business trends. These estimates have calculations that require management to make assumptions based on the current rate of sales, age, salability and profitability of inventory, historical percentages that can be affected by changes in our merchandising mix, customer preferences, rates of sell through and changes in actual shrinkage trends.</w:t>
      </w:r>
    </w:p>
    <w:p>
      <w:pPr>
        <w:pStyle w:val="TextBody"/>
        <w:bidi w:val="0"/>
        <w:spacing w:lineRule="auto" w:line="259"/>
        <w:rPr>
          <w:rFonts w:ascii="Times New Roman;serif" w:hAnsi="Times New Roman;serif"/>
          <w:sz w:val="20"/>
        </w:rPr>
      </w:pPr>
      <w:r>
        <w:rPr>
          <w:rFonts w:ascii="Times New Roman;serif" w:hAnsi="Times New Roman;serif"/>
          <w:b w:val="false"/>
          <w:i/>
          <w:sz w:val="20"/>
        </w:rPr>
        <w:t>Effect if actual results differ from the assumptions: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We do not believe there is a reasonable likelihood that there will be a material change in the assumptions we use to calculate our inventory provisions. However, if actual results are not consistent with our estimates and assumptions, we may be exposed to losses that could be material. A 10% change in our inventory valuation and shrinkage reserves at December 31, 2025 would have had a $0.1 million net impact on operating income during fiscal 2025.</w:t>
      </w:r>
    </w:p>
    <w:p>
      <w:pPr>
        <w:pStyle w:val="TextBody"/>
        <w:bidi w:val="0"/>
        <w:spacing w:lineRule="auto" w:line="259"/>
        <w:rPr>
          <w:rFonts w:ascii="Times New Roman;serif" w:hAnsi="Times New Roman;serif"/>
          <w:b/>
          <w:i/>
          <w:sz w:val="20"/>
        </w:rPr>
      </w:pPr>
      <w:r>
        <w:rPr>
          <w:rFonts w:ascii="Times New Roman;serif" w:hAnsi="Times New Roman;serif"/>
          <w:b/>
          <w:i/>
          <w:sz w:val="20"/>
        </w:rPr>
        <w:t>Impairment of Long-Lived Assets</w:t>
      </w:r>
    </w:p>
    <w:p>
      <w:pPr>
        <w:pStyle w:val="TextBody"/>
        <w:bidi w:val="0"/>
        <w:spacing w:lineRule="auto" w:line="259"/>
        <w:rPr>
          <w:rFonts w:ascii="Times New Roman;serif" w:hAnsi="Times New Roman;serif"/>
          <w:sz w:val="20"/>
        </w:rPr>
      </w:pPr>
      <w:r>
        <w:rPr>
          <w:rFonts w:ascii="Times New Roman;serif" w:hAnsi="Times New Roman;serif"/>
          <w:b w:val="false"/>
          <w:i/>
          <w:sz w:val="20"/>
        </w:rPr>
        <w:t>Description: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Property, plant and equipment are carried at cost less accumulated depreciation, which is amortized over the useful life of the assets. Leasehold improvements are amortized over the shorter of their estimated useful lives or lease period (including expected renewal periods). Property, plant, equipment, and right of use assets are evaluated for impairment whenever events or changes in circumstances indicate that the carrying value may not be recoverable. The evaluation is performed at the lowest level of identifiable cash flows independent of other assets, which typically occurs at an individual store level. An impairment loss is recognized when estimated undiscounted future cash flows from the operations and/or disposition of the assets are less than the carrying amount.</w:t>
      </w:r>
    </w:p>
    <w:p>
      <w:pPr>
        <w:pStyle w:val="TextBody"/>
        <w:bidi w:val="0"/>
        <w:spacing w:lineRule="auto" w:line="259"/>
        <w:rPr>
          <w:rFonts w:ascii="Times New Roman;serif" w:hAnsi="Times New Roman;serif"/>
          <w:sz w:val="20"/>
        </w:rPr>
      </w:pPr>
      <w:r>
        <w:rPr>
          <w:rFonts w:ascii="Times New Roman;serif" w:hAnsi="Times New Roman;serif"/>
          <w:b w:val="false"/>
          <w:i/>
          <w:sz w:val="20"/>
        </w:rPr>
        <w:t>Judgement and uncertainties involved in the estimate: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significant assumption used in developing undiscounted cash flow analyses is the estimate of future sales. Measurement of an impairment loss is based on the excess of the carrying amount of the asset group over its fair value. Fair value is measured using discounted cash flows or independent opinions of value, as appropriate. </w:t>
      </w:r>
    </w:p>
    <w:p>
      <w:pPr>
        <w:pStyle w:val="TextBody"/>
        <w:bidi w:val="0"/>
        <w:spacing w:lineRule="auto" w:line="259"/>
        <w:rPr>
          <w:rFonts w:ascii="Times New Roman;serif" w:hAnsi="Times New Roman;serif"/>
          <w:sz w:val="20"/>
        </w:rPr>
      </w:pPr>
      <w:r>
        <w:rPr>
          <w:rFonts w:ascii="Times New Roman;serif" w:hAnsi="Times New Roman;serif"/>
          <w:b w:val="false"/>
          <w:i/>
          <w:sz w:val="20"/>
        </w:rPr>
        <w:t>Effect if actual results differ from the assumptions: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If actual results are not consistent with our estimates and assumptions used in determining future cash flows and asset fair values, we may be exposed to losses that could be material. </w:t>
      </w:r>
      <w:bookmarkStart w:id="42" w:name="_Hlk157499555"/>
      <w:bookmarkEnd w:id="42"/>
      <w:r>
        <w:rPr>
          <w:rFonts w:ascii="Times New Roman;serif" w:hAnsi="Times New Roman;serif"/>
          <w:b w:val="false"/>
          <w:i w:val="false"/>
          <w:caps w:val="false"/>
          <w:smallCaps w:val="false"/>
          <w:sz w:val="20"/>
        </w:rPr>
        <w:t>During the fiscal years ended December 31, 2025, 2024 and 2023, the Company recorded asset impairment charges of $0.3 million, $0.9 million and $1.0 million, respectively, which were classified in selling, general and administrative expenses.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New Accounting Pronouncements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a summary of recently issued accounting pronouncements, refer to Note 1 of the Notes to the Consolidated Financial Statements included in this Annual Report on Form 10-K for further information.</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w:t>
      </w:r>
      <w:bookmarkStart w:id="43" w:name="Item_7A_QuantitativeandDisclosures"/>
      <w:bookmarkEnd w:id="43"/>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7A. QUANTITATIVE AND QUALITATIVE DISCLOSURES ABOUT MARKET RISK</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exposed to market risks in the ordinary course of our business. These risks primarily include inflation, interest rate risk, and credit concentration risk.</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Inflation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Inflationary factors such as increases in the cost of our products and overhead costs may adversely affect our operating results. Our operating results are heavily dependent upon the prices paid to acquire man-made and natural stone products from our vendors around the world. Our cost of sales is subject to inflationary pressures and price fluctuations of the raw materials we use and other costs, including freight and labor costs. Higher rates of inflation may have an adverse effect on our ability to maintain historical levels of gross profit and selling, general and administrative expenses as a percentage of revenues if the selling prices of our products do not increase at a consistent rate with these increased costs. Historically, we have generally been able over time to offset, in whole or in part, the effects of inflation and price fluctuations through sales price increases and production efficiencies associated with technological enhancements and volume growth; however, we cannot reasonably estimate our ability to offset any increases in raw material prices or freight or labor costs or other inflationary pressures in the future. Such sustained inflationary pressures may have an adverse effect on our business, financial condition and results of operations if the selling prices of our products do not increase with these increased costs, or we cannot identify cost efficiencies.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Interest Rate Risk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are exposed to interest rate risk through the investment of our cash and cash equivalents. Changes in interest rates affect the interest income that we earn in connection with these investments, and therefore impact our cash flows and results of operation. We are also exposed to interest rate risk in connection with borrowings under our credit facility. Borrowings pursuant to our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Rent Adjusted Leverage Ratio (as defined in the Credit Agreement). </w:t>
      </w:r>
      <w:bookmarkStart w:id="44" w:name="_Hlk126592255"/>
      <w:bookmarkEnd w:id="44"/>
      <w:r>
        <w:rPr>
          <w:rFonts w:ascii="Times New Roman;serif" w:hAnsi="Times New Roman;serif"/>
          <w:b w:val="false"/>
          <w:i w:val="false"/>
          <w:caps w:val="false"/>
          <w:smallCaps w:val="false"/>
          <w:sz w:val="20"/>
        </w:rPr>
        <w:t>Borrowings outstanding as of December 31, 2025 were SOFR-based interest rate loans. The SOFR-based interest rate was 5.72% on December 31, 2025. Based upon balances and interest rates as of December 31, 2025, holding other variables constant, a one percentage point increase in interest rates for the next 12-month period would decrease pre-tax earnings and cash flow by approximately $0.3 million. Conversely, a one percentage point decrease in interest rates for the next 12-month period would result in an increase to pre-tax earnings and cash flow of approximately $0.3 million.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currently do not engage in any interest rate hedging activity. We do not, and do not intend to, engage in the practice of trading derivative securities for profit.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Credit Concentration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Financial instruments, which may subject us to concentration of credit risk, consist principally of cash deposits. We maintain cash balances at financial institutions with strong credit ratings. However, the amounts invested with financial institutions are generally in excess of FDIC insurance limits.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45" w:name="Item_8_ConsolidatedFinancialStatements"/>
      <w:bookmarkEnd w:id="45"/>
      <w:r>
        <w:rPr>
          <w:rFonts w:ascii="Times New Roman;serif" w:hAnsi="Times New Roman;serif"/>
          <w:b/>
          <w:i w:val="false"/>
          <w:caps w:val="false"/>
          <w:smallCaps w:val="false"/>
          <w:sz w:val="20"/>
        </w:rPr>
        <w:t>EM 8. FINANCIAL STATEMENTS AND SUPPLEMENTARY DATA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consolidated financial statements and the reports of our independent registered public accounting firm, as listed under Part IV, Item 15. “Exhibits and Financial Statement Schedules,” are included as a separate section of this report beginning on page 54 and are incorporated herein by reference.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9. CHANG</w:t>
      </w:r>
      <w:bookmarkStart w:id="46" w:name="Item_9_ChangesInAndDisagreementsWithAcct"/>
      <w:bookmarkEnd w:id="46"/>
      <w:r>
        <w:rPr>
          <w:rFonts w:ascii="Times New Roman;serif" w:hAnsi="Times New Roman;serif"/>
          <w:b/>
          <w:i w:val="false"/>
          <w:caps w:val="false"/>
          <w:smallCaps w:val="false"/>
          <w:sz w:val="20"/>
        </w:rPr>
        <w:t>ES IN AND DISAGREEMENTS WITH ACCOUNTANTS ON ACCOUNTING AND FINANCIAL DISCLOSURE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47" w:name="ITEM_9A_CONTROLSANDPROCEDURES"/>
      <w:bookmarkEnd w:id="47"/>
      <w:r>
        <w:rPr>
          <w:rFonts w:ascii="Times New Roman;serif" w:hAnsi="Times New Roman;serif"/>
          <w:b/>
          <w:i w:val="false"/>
          <w:caps w:val="false"/>
          <w:smallCaps w:val="false"/>
          <w:sz w:val="20"/>
        </w:rPr>
        <w:t xml:space="preserve">ITEM 9A. CONTROLS AND PROCEDURES </w:t>
      </w:r>
    </w:p>
    <w:p>
      <w:pPr>
        <w:pStyle w:val="TextBody"/>
        <w:bidi w:val="0"/>
        <w:spacing w:lineRule="auto" w:line="259"/>
        <w:rPr>
          <w:rFonts w:ascii="Times New Roman;serif" w:hAnsi="Times New Roman;serif"/>
          <w:b/>
          <w:i/>
          <w:sz w:val="20"/>
        </w:rPr>
      </w:pPr>
      <w:r>
        <w:rPr>
          <w:rFonts w:ascii="Times New Roman;serif" w:hAnsi="Times New Roman;serif"/>
          <w:b/>
          <w:i/>
          <w:sz w:val="20"/>
        </w:rPr>
        <w:t>Disclosure Controls and Procedures.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December 31, 2025 and have concluded that our disclosure controls and procedures were effective as of December 31, 2025.</w:t>
      </w:r>
    </w:p>
    <w:p>
      <w:pPr>
        <w:pStyle w:val="TextBody"/>
        <w:bidi w:val="0"/>
        <w:spacing w:lineRule="auto" w:line="259"/>
        <w:rPr>
          <w:rFonts w:ascii="Times New Roman;serif" w:hAnsi="Times New Roman;serif"/>
          <w:b/>
          <w:i/>
          <w:sz w:val="20"/>
        </w:rPr>
      </w:pPr>
      <w:r>
        <w:rPr>
          <w:rFonts w:ascii="Times New Roman;serif" w:hAnsi="Times New Roman;serif"/>
          <w:b/>
          <w:i/>
          <w:sz w:val="20"/>
        </w:rPr>
        <w:t>Management’s Annual Report on Internal Control over Financial Reporting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management is responsible for establishing and maintaining adequate internal control over financial reporting, as defined in </w:t>
      </w:r>
      <w:bookmarkStart w:id="48" w:name="OLE_LINK215"/>
      <w:bookmarkEnd w:id="48"/>
      <w:r>
        <w:rPr>
          <w:rFonts w:ascii="Times New Roman;serif" w:hAnsi="Times New Roman;serif"/>
          <w:b w:val="false"/>
          <w:i w:val="false"/>
          <w:caps w:val="false"/>
          <w:smallCaps w:val="false"/>
          <w:sz w:val="20"/>
        </w:rPr>
        <w:t xml:space="preserve">Rule 13a-15(f) promulgated under the Exchange Act.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our financial statements for external purposes in accordance with GAAP. Internal control over financial reporting includes policies and procedures that: (i) pertain to the maintenance of records that, in reasonable detail, accurately and fairly reflect the transactions and dispositions of an issuer’s assets; (ii) provide reasonable assurance that transactions are recorded as necessary to permit preparation of financial statements in accordance with GAAP, and that an issuer’s receipts and expenditures are being made only in accordance with authorizations of its management and directors; and (iii) provide reasonable assurance regarding prevention or timely detection of unauthorized acquisition, use or disposition of an issuer’s assets that could have a material effect on the consolidated financial statements. Because of its inherent limitations, internal control over financial reporting may not prevent or detect misstatements. Also, </w:t>
      </w:r>
      <w:bookmarkStart w:id="49" w:name="OLE_LINK214"/>
      <w:bookmarkEnd w:id="49"/>
      <w:r>
        <w:rPr>
          <w:rFonts w:ascii="Times New Roman;serif" w:hAnsi="Times New Roman;serif"/>
          <w:b w:val="false"/>
          <w:i w:val="false"/>
          <w:caps w:val="false"/>
          <w:smallCaps w:val="false"/>
          <w:sz w:val="20"/>
        </w:rPr>
        <w:t>the application of any evaluation of effectiveness to future periods is subject to the risk that controls may become inadequate because of changes in conditions, or that compliance with the policies or procedures may deteriorate.</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As required by Rule 13a-15(c) promulgated under the Exchange Act, our management, with the participation of our Chief Executive Officer and Chief Financial Officer, evaluated the effectiveness of our internal control over financial reporting as of December 31, 2025. Management’s assessment was based on criteria set forth by the </w:t>
      </w:r>
      <w:bookmarkStart w:id="50" w:name="OLE_LINK15"/>
      <w:bookmarkEnd w:id="50"/>
      <w:r>
        <w:rPr>
          <w:rFonts w:ascii="Times New Roman;serif" w:hAnsi="Times New Roman;serif"/>
          <w:b w:val="false"/>
          <w:i w:val="false"/>
          <w:caps w:val="false"/>
          <w:smallCaps w:val="false"/>
          <w:sz w:val="20"/>
        </w:rPr>
        <w:t>Committee of Sponsoring Organizations of the Treadway Commission (COSO) in Internal Control - Integrated Framework (2013 Framework). Based on management’s assessment, management has concluded that our internal control over financial reporting was effective as of December 31, 2025.</w:t>
      </w:r>
    </w:p>
    <w:p>
      <w:pPr>
        <w:pStyle w:val="TextBody"/>
        <w:bidi w:val="0"/>
        <w:spacing w:lineRule="auto" w:line="259"/>
        <w:rPr>
          <w:rFonts w:ascii="Times New Roman;serif" w:hAnsi="Times New Roman;serif"/>
          <w:b w:val="false"/>
          <w:i w:val="false"/>
          <w:caps w:val="false"/>
          <w:smallCaps w:val="false"/>
          <w:color w:val="000000"/>
          <w:sz w:val="20"/>
          <w:shd w:fill="FFFFFF" w:val="clear"/>
        </w:rPr>
      </w:pPr>
      <w:r>
        <w:rPr>
          <w:rFonts w:ascii="Times New Roman;serif" w:hAnsi="Times New Roman;serif"/>
          <w:b w:val="false"/>
          <w:i w:val="false"/>
          <w:caps w:val="false"/>
          <w:smallCaps w:val="false"/>
          <w:color w:val="000000"/>
          <w:sz w:val="20"/>
          <w:shd w:fill="FFFFFF" w:val="clear"/>
        </w:rPr>
        <w:t>RSM US LLP, our independent registered public accounting firm, has issued a report on our internal control over financial reporting as of December 31, 2025. See “Report of Independent Registered Public Accounting Firm – Opinion on the Internal Control over Financial Reporting” of this report.</w:t>
      </w:r>
    </w:p>
    <w:p>
      <w:pPr>
        <w:pStyle w:val="TextBody"/>
        <w:bidi w:val="0"/>
        <w:spacing w:lineRule="auto" w:line="259"/>
        <w:rPr>
          <w:rFonts w:ascii="Times New Roman;serif" w:hAnsi="Times New Roman;serif"/>
          <w:sz w:val="20"/>
        </w:rPr>
      </w:pPr>
      <w:r>
        <w:rPr>
          <w:rFonts w:ascii="Times New Roman;serif" w:hAnsi="Times New Roman;serif"/>
          <w:b/>
          <w:i/>
          <w:sz w:val="20"/>
        </w:rPr>
        <w:t>Changes in Internal Control over Financial Reporting</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were no changes in internal control over financial reporting (as defined by Rule 13a-15(f) under the Exchange Act) during the quarter ended December 31, 2025 that have materially affected, or are reasonably likely to materially affect, our internal control over financial reporting.</w:t>
      </w:r>
    </w:p>
    <w:p>
      <w:pPr>
        <w:pStyle w:val="TextBody"/>
        <w:bidi w:val="0"/>
        <w:spacing w:lineRule="auto" w:line="259"/>
        <w:rPr>
          <w:rFonts w:ascii="Times New Roman;serif" w:hAnsi="Times New Roman;serif"/>
          <w:b/>
          <w:i/>
          <w:sz w:val="20"/>
        </w:rPr>
      </w:pPr>
      <w:r>
        <w:rPr>
          <w:rFonts w:ascii="Times New Roman;serif" w:hAnsi="Times New Roman;serif"/>
          <w:b/>
          <w:i/>
          <w:sz w:val="20"/>
        </w:rPr>
        <w:t>Inherent Limitations on Effectiveness of Controls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management, including our Chief Executive Officer and Chief Financial Officer, intends that our disclosure controls and procedures and internal control over financial reporting are designed to provide reasonable assurance of achieving their objectives.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 effective control system, misstatements due to error or fraud may occur and not be detected.</w:t>
      </w:r>
    </w:p>
    <w:p>
      <w:pPr>
        <w:pStyle w:val="TextBody"/>
        <w:bidi w:val="0"/>
        <w:spacing w:lineRule="auto" w:line="259"/>
        <w:rPr>
          <w:rFonts w:ascii="Times New Roman;serif" w:hAnsi="Times New Roman;serif"/>
          <w:b/>
          <w:i w:val="false"/>
          <w:caps w:val="false"/>
          <w:smallCaps w:val="false"/>
          <w:sz w:val="20"/>
        </w:rPr>
      </w:pPr>
      <w:bookmarkStart w:id="51" w:name="ITEM_9B_OTHERINFORMATION"/>
      <w:bookmarkEnd w:id="51"/>
      <w:r>
        <w:rPr>
          <w:rFonts w:ascii="Times New Roman;serif" w:hAnsi="Times New Roman;serif"/>
          <w:b/>
          <w:i w:val="false"/>
          <w:caps w:val="false"/>
          <w:smallCaps w:val="false"/>
          <w:sz w:val="20"/>
        </w:rPr>
        <w:t>ITEM 9B. OTHER INFORMATION</w:t>
      </w:r>
    </w:p>
    <w:p>
      <w:pPr>
        <w:pStyle w:val="TextBody"/>
        <w:shd w:fill="FFFFFF" w:val="clear"/>
        <w:bidi w:val="0"/>
        <w:spacing w:lineRule="auto" w:line="259"/>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shd w:fill="FFFFFF" w:val="clear"/>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During the quarter ended December 31, 2025, none of the Company’s directors or executive officers adopted, modified or terminated</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any contract, instruction or written plan for the purchase or sale of Company securities that was intended to satisfy the affirmative defense conditions of Rule 10b5-1(c)</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of the Exchange Act or any “non-Rule 10b5-1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trading arrangement” (as defined in Item 408(c) of Regulation S-K).</w:t>
      </w:r>
    </w:p>
    <w:p>
      <w:pPr>
        <w:pStyle w:val="TextBody"/>
        <w:bidi w:val="0"/>
        <w:spacing w:lineRule="auto" w:line="259"/>
        <w:rPr>
          <w:rFonts w:ascii="Times New Roman;serif" w:hAnsi="Times New Roman;serif"/>
          <w:b/>
          <w:i w:val="false"/>
          <w:caps w:val="false"/>
          <w:smallCaps w:val="false"/>
          <w:sz w:val="20"/>
        </w:rPr>
      </w:pPr>
      <w:bookmarkStart w:id="52" w:name="ITEM_9C_DISCLOSUREREGARDINGFOREIGNJURIS"/>
      <w:bookmarkEnd w:id="52"/>
      <w:r>
        <w:rPr>
          <w:rFonts w:ascii="Times New Roman;serif" w:hAnsi="Times New Roman;serif"/>
          <w:b/>
          <w:i w:val="false"/>
          <w:caps w:val="false"/>
          <w:smallCaps w:val="false"/>
          <w:sz w:val="20"/>
        </w:rPr>
        <w:t>ITEM 9C. DISCLOSURE REGARDING FOREIGN JURISDICTIONS THAT PREVENT INSPECTIONS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 applicable.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PART III</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ITEM 10. DIRECTORS, EXECUTIVE OFF</w:t>
      </w:r>
      <w:bookmarkStart w:id="53" w:name="Item_10_DirectorsExecutiveOfficers"/>
      <w:bookmarkEnd w:id="53"/>
      <w:r>
        <w:rPr>
          <w:rFonts w:ascii="Times New Roman;serif" w:hAnsi="Times New Roman;serif"/>
          <w:b/>
          <w:i w:val="false"/>
          <w:caps w:val="false"/>
          <w:smallCaps w:val="false"/>
          <w:color w:val="000000"/>
          <w:sz w:val="20"/>
        </w:rPr>
        <w:t>ICERS AND CORPORATE GOVERNANCE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Information about our Directors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provides information about the members of our Board of Directors, including their ages, as of February 23, 2026. </w:t>
      </w:r>
    </w:p>
    <w:tbl>
      <w:tblPr>
        <w:tblW w:w="9918" w:type="dxa"/>
        <w:jc w:val="left"/>
        <w:tblInd w:w="0" w:type="dxa"/>
        <w:tblLayout w:type="fixed"/>
        <w:tblCellMar>
          <w:top w:w="0" w:type="dxa"/>
          <w:left w:w="0" w:type="dxa"/>
          <w:bottom w:w="0" w:type="dxa"/>
          <w:right w:w="0" w:type="dxa"/>
        </w:tblCellMar>
      </w:tblPr>
      <w:tblGrid>
        <w:gridCol w:w="5206"/>
        <w:gridCol w:w="206"/>
        <w:gridCol w:w="436"/>
        <w:gridCol w:w="109"/>
        <w:gridCol w:w="3961"/>
      </w:tblGrid>
      <w:tr>
        <w:trPr/>
        <w:tc>
          <w:tcPr>
            <w:tcW w:w="5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520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w:t>
            </w:r>
          </w:p>
        </w:tc>
        <w:tc>
          <w:tcPr>
            <w:tcW w:w="206" w:type="dxa"/>
            <w:tcBorders/>
            <w:vAlign w:val="center"/>
          </w:tcPr>
          <w:p>
            <w:pPr>
              <w:pStyle w:val="TableContents"/>
              <w:bidi w:val="0"/>
              <w:spacing w:before="0" w:after="283"/>
              <w:jc w:val="left"/>
              <w:rPr>
                <w:sz w:val="4"/>
                <w:szCs w:val="4"/>
              </w:rPr>
            </w:pPr>
            <w:r>
              <w:rPr>
                <w:sz w:val="4"/>
                <w:szCs w:val="4"/>
              </w:rPr>
            </w:r>
          </w:p>
        </w:tc>
        <w:tc>
          <w:tcPr>
            <w:tcW w:w="43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Age</w:t>
            </w:r>
          </w:p>
        </w:tc>
        <w:tc>
          <w:tcPr>
            <w:tcW w:w="109" w:type="dxa"/>
            <w:tcBorders/>
            <w:vAlign w:val="center"/>
          </w:tcPr>
          <w:p>
            <w:pPr>
              <w:pStyle w:val="TableContents"/>
              <w:bidi w:val="0"/>
              <w:spacing w:before="0" w:after="283"/>
              <w:jc w:val="left"/>
              <w:rPr>
                <w:sz w:val="4"/>
                <w:szCs w:val="4"/>
              </w:rPr>
            </w:pPr>
            <w:r>
              <w:rPr>
                <w:sz w:val="4"/>
                <w:szCs w:val="4"/>
              </w:rPr>
            </w:r>
          </w:p>
        </w:tc>
        <w:tc>
          <w:tcPr>
            <w:tcW w:w="396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Position</w:t>
            </w:r>
          </w:p>
        </w:tc>
      </w:tr>
      <w:tr>
        <w:trPr/>
        <w:tc>
          <w:tcPr>
            <w:tcW w:w="520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i w:val="false"/>
                <w:caps w:val="false"/>
                <w:smallCaps w:val="false"/>
                <w:sz w:val="20"/>
              </w:rPr>
              <w:t>Class I Directors (Term Expires at 2028 Annual Meeting):</w:t>
            </w:r>
            <w:r>
              <w:rPr>
                <w:rFonts w:ascii="Times New Roman;serif" w:hAnsi="Times New Roman;serif"/>
                <w:caps w:val="false"/>
                <w:smallCaps w:val="false"/>
                <w:sz w:val="20"/>
              </w:rPr>
              <w:t xml:space="preserve"> </w:t>
            </w:r>
          </w:p>
        </w:tc>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96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Peter J. Jacullo III </w:t>
            </w:r>
          </w:p>
        </w:tc>
        <w:tc>
          <w:tcPr>
            <w:tcW w:w="20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w:t>
            </w:r>
          </w:p>
        </w:tc>
        <w:tc>
          <w:tcPr>
            <w:tcW w:w="109"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w:t>
            </w:r>
          </w:p>
        </w:tc>
      </w:tr>
      <w:tr>
        <w:trPr/>
        <w:tc>
          <w:tcPr>
            <w:tcW w:w="5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Cabell H. Lolmaugh</w:t>
            </w:r>
          </w:p>
        </w:tc>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43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9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 Chief Executive Officer and President</w:t>
            </w:r>
          </w:p>
        </w:tc>
      </w:tr>
      <w:tr>
        <w:trPr/>
        <w:tc>
          <w:tcPr>
            <w:tcW w:w="520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i w:val="false"/>
                <w:caps w:val="false"/>
                <w:smallCaps w:val="false"/>
                <w:sz w:val="20"/>
              </w:rPr>
              <w:t>Class II Directors (Term Expires at 2026 Annual Meeting):</w:t>
            </w:r>
            <w:r>
              <w:rPr>
                <w:rFonts w:ascii="Times New Roman;serif" w:hAnsi="Times New Roman;serif"/>
                <w:caps w:val="false"/>
                <w:smallCaps w:val="false"/>
                <w:sz w:val="20"/>
              </w:rPr>
              <w:t xml:space="preserve"> </w:t>
            </w:r>
          </w:p>
        </w:tc>
        <w:tc>
          <w:tcPr>
            <w:tcW w:w="20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Peter H. Kamin</w:t>
            </w:r>
          </w:p>
        </w:tc>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43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9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 Chairman of the Board</w:t>
            </w:r>
          </w:p>
        </w:tc>
      </w:tr>
      <w:tr>
        <w:trPr/>
        <w:tc>
          <w:tcPr>
            <w:tcW w:w="5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J. Bonney</w:t>
            </w:r>
          </w:p>
        </w:tc>
        <w:tc>
          <w:tcPr>
            <w:tcW w:w="20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w:t>
            </w:r>
          </w:p>
        </w:tc>
        <w:tc>
          <w:tcPr>
            <w:tcW w:w="109"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w:t>
            </w:r>
          </w:p>
        </w:tc>
      </w:tr>
      <w:tr>
        <w:trPr/>
        <w:tc>
          <w:tcPr>
            <w:tcW w:w="520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i w:val="false"/>
                <w:caps w:val="false"/>
                <w:smallCaps w:val="false"/>
                <w:sz w:val="20"/>
              </w:rPr>
              <w:t>Class III Directors (Term Expires at 2027 Annual Meeting):</w:t>
            </w:r>
            <w:r>
              <w:rPr>
                <w:rFonts w:ascii="Times New Roman;serif" w:hAnsi="Times New Roman;serif"/>
                <w:caps w:val="false"/>
                <w:smallCaps w:val="false"/>
                <w:sz w:val="20"/>
              </w:rPr>
              <w:t xml:space="preserve"> </w:t>
            </w:r>
          </w:p>
        </w:tc>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4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961" w:type="dxa"/>
            <w:tcBorders/>
            <w:shd w:fill="CCEEFF" w:val="clear"/>
            <w:vAlign w:val="center"/>
          </w:tcPr>
          <w:p>
            <w:pPr>
              <w:pStyle w:val="TableContents"/>
              <w:bidi w:val="0"/>
              <w:spacing w:before="0" w:after="283"/>
              <w:jc w:val="left"/>
              <w:rPr>
                <w:sz w:val="4"/>
                <w:szCs w:val="4"/>
              </w:rPr>
            </w:pPr>
            <w:r>
              <w:rPr>
                <w:sz w:val="4"/>
                <w:szCs w:val="4"/>
              </w:rPr>
            </w:r>
          </w:p>
        </w:tc>
      </w:tr>
      <w:tr>
        <w:trPr/>
        <w:tc>
          <w:tcPr>
            <w:tcW w:w="5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Benjamin Faw</w:t>
            </w:r>
          </w:p>
        </w:tc>
        <w:tc>
          <w:tcPr>
            <w:tcW w:w="20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3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c>
          <w:tcPr>
            <w:tcW w:w="109"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w:t>
            </w:r>
          </w:p>
        </w:tc>
      </w:tr>
      <w:tr>
        <w:trPr/>
        <w:tc>
          <w:tcPr>
            <w:tcW w:w="52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Deborah K. Glasser</w:t>
            </w:r>
          </w:p>
        </w:tc>
        <w:tc>
          <w:tcPr>
            <w:tcW w:w="206"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43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9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w:t>
            </w:r>
          </w:p>
        </w:tc>
      </w:tr>
      <w:tr>
        <w:trPr/>
        <w:tc>
          <w:tcPr>
            <w:tcW w:w="52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Jonathan Lennon</w:t>
            </w:r>
          </w:p>
        </w:tc>
        <w:tc>
          <w:tcPr>
            <w:tcW w:w="20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3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c>
          <w:tcPr>
            <w:tcW w:w="109"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w:t>
            </w:r>
          </w:p>
        </w:tc>
      </w:tr>
    </w:tbl>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Class I Directors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Peter J. Jacullo III</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has served as a member of our Board since August 2012. Previously, Mr. Jacullo served as a member of The Tile Shop, LLC’s board of managers from December 2007 to August 2012. Since July 1987, Mr. Jacullo has been a self-employed investor and consultant, and he currently serves on the board of directors of various privately held companies. Previously, Mr. Jacullo was a Vice President and Director of the Boston Consulting Group from May 1984 to July 1987, where he was also employed in various other capacities from May 1978 to May 1984. Mr. Jacullo holds a B.A. in Economics from Johns Hopkins University and an M.B.A. from the University of Chicago. We believe that Mr. Jacullo is qualified to serve on our Board as a result of the continuity that he provides on our Board and his experience as a professional investor.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Cabell H. Lolmaugh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has been our Chief Executive Officer and President and a member of our Board since January 1, 2019. From February 2018 through December 2018, Mr. Lolmaugh was our Senior Vice President and Chief Operating Officer. Mr. Lolmaugh previously served as our Vice President, Retail Stores from October 2017 until February 2018, as our Director – Talent Development, leading our store training programs and strategy, from January 2016 until October 2017, and as our Director of Pro Services, leading our professional customer strategy, from July 2014 through January 2016. Mr. Lolmaugh served in numerous key roles at a store level from 2001 through July 2014. Prior to joining us, Mr. Lolmaugh served in the United States Marine Corps. We believe that Mr. Lolmaugh is qualified to serve on our Board because of his role as our Chief Executive Officer and the connection he provides to the day-to-day operational management.</w:t>
      </w:r>
    </w:p>
    <w:p>
      <w:pPr>
        <w:pStyle w:val="TextBody"/>
        <w:bidi w:val="0"/>
        <w:spacing w:lineRule="auto" w:line="259"/>
        <w:rPr>
          <w:rFonts w:ascii="Times New Roman;serif" w:hAnsi="Times New Roman;serif"/>
          <w:b w:val="false"/>
          <w:i/>
          <w:sz w:val="20"/>
        </w:rPr>
      </w:pPr>
      <w:bookmarkStart w:id="54" w:name="OLE_LINK64"/>
      <w:bookmarkEnd w:id="54"/>
      <w:r>
        <w:rPr>
          <w:rFonts w:ascii="Times New Roman;serif" w:hAnsi="Times New Roman;serif"/>
          <w:b w:val="false"/>
          <w:i/>
          <w:sz w:val="20"/>
        </w:rPr>
        <w:t xml:space="preserve">Class II Directors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 xml:space="preserve">Peter H. Kamin </w:t>
      </w:r>
      <w:r>
        <w:rPr>
          <w:rFonts w:ascii="Times New Roman;serif" w:hAnsi="Times New Roman;serif"/>
          <w:b w:val="false"/>
          <w:i w:val="false"/>
          <w:caps w:val="false"/>
          <w:smallCaps w:val="false"/>
          <w:sz w:val="20"/>
        </w:rPr>
        <w:t>has served as a member of our Board since August 2012. Previously, Mr. Kamin served as a member of The Tile Shop, LLC’s board of managers from January 2012 to August 2012. Mr. Kamin is the founder of 3K Limited Partnership, a family limited partnership, and has served as its Managing Partner since January 2012. For the 11 years preceding the formation of 3K Limited Partnership, Mr. Kamin was a founding member and Managing Partner of ValueAct Capital, which grew into a leading investment management organization during Mr. Kamin’s tenure. Prior to founding ValueAct Capital in 2000, Mr. Kamin founded and managed Peak Investment L.P., a limited partnership organized to make investments in a select number of domestic public and private companies. Since August 2022, Mr. Kamin has served as a director of Psychemedics Corporation, which provides hair drug testing. Mr. Kamin previously served as a director of IAA, Inc., then a publicly traded multi-channel vehicle marketplace and former subsidiary of KAR Auction Services, Inc., from June 2019 until its merger in March 2023. Mr. Kamin is also a director of several privately held companies. From May 2012 to October 2019, Mr. Kamin served as a director of MAM Software Group, Inc., then a publicly traded provider of business automation and ecommerce solutions for the automotive aftermarket. Mr. Kamin holds a B.A. in Economics from Tufts University and an M.B.A. from the Harvard University Graduate School of Business. We believe that Mr. Kamin is qualified to serve on our Board due to his significant experience as a director of publicly traded companies and his substantial experience as an investor, including more than 40 years of leading boards and generating returns for investors.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Mark J. Bonney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has served as a member of our Board since July 2020. Mr. Bonney currently serves as President and CEO of On Board Advisors, LLC, a financial and strategic advisory firm. Since July 2023, Mr. Bonney has served as a member of the board of directors of Plug Power Inc., a publicly traded provider of green hydrogen solutions. Mr. Bonney previously served on the board of directors of Zix Corporation, a then-publicly traded provider of cloud email security solutions, from January 2013 until its merger in December 2021. Mr. Bonney also previously served as a director of SeaChange International, Inc., a publicly traded provider of end-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to-end video delivery and management software solutions for cable wireless, OTT and other content providing enterprises, from August 2017 through December 2019, including as Executive Chair and principal executive officer from April 2019 through October 2019, and Independent Chairman from October 2019 through December 2019. From May 2018 until its merger in April 2019, he served as President and Chief Executive Officer and a director of RhythmOne plc, a publicly traded provider of multi-screen digital advertising solutions, where he also served as the Interim Chief Financial Officer from February 2019 to April 2019. Prior to that, Mr. Bonney served as President and Chief Executive Officer of MRV Communications, Inc., a publicly traded supplier of network equipment to the telecommunications industry, from December 2014 until its sale in August 2017 and as a director of MRV Communications, Inc. from April 2013 to August 2017. Mr. Bonney previously served as a director of Sigma Designs, Inc., a provider of system-on-a-chip semiconductor solutions for smart homes, from August 2012 through August 2015; Executive Vice President and Chief Financial Officer of Direct Brands, Inc., a direct to consumer media company, from 2010 to 2012; vice president and general manager of the Authentication Solutions Group of JDS Uniphase Corporation (“JDSU”), an optical technologies and telecommunications firm, from 2008 to 2010; and as a director from 2003 until 2005, and Executive Vice President and Chief Financial Officer from 2005 to 2008, of American Bank Note Holographics, Inc., an optical security device company, which was acquired by JDSU. Mr. Bonney has also previously held executive roles with technology companies, including President, Chief Operating Officer and a director of Axsys Technologies, Inc., a manufacturer of components and subsystems for aerospace, defense, data storage, medical and other high technology applications, from 1999 to 2002, and Chief Financial Officer of Zygo Corporation, a manufacturer of components for semiconductor, data storage and industrial markets, from 1993 to 1999. Mr. Bonney holds a B.S. in Business from Central Connecticut State University and an M.B.A. in finance from the University of Hartford. We believe that Mr. Bonney is qualified to serve on our Board due to his significant experience as a Chief Executive Officer and Chief Financial Officer of several public companies and his substantial experience as a director of public companies.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 xml:space="preserve">Class III Directors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Benjamin Faw</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has served as a member of our Board since January 2026. Mr. Faw has served as a partner at Dynamism Capital, a commerce enablement-focused venture capital fund, since April 2022 and as CEO, Co-Founder and board member of AdVon Commerce, a digital commerce platform, since 2019. Mr. Faw is also an advisor and investor with a focus on companies in the consumer, technology, and media intersection. Mr. Faw is also an entrepreneur in residence at Context Ventures, a venture capital fund focused on consumer startups and startups founded by military veterans.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Mr. Faw has served as a board member of Citi Trends since 2026. Mr. Faw is also a Co-Founder and formerly served as Chief Operations Officer at BestReviews. Prior to BestReviews Mr. Faw was at LinkedIn, Tesla, UBS investment banking, the Army Corps of Engineers, and the US Army. Mr. Faw served as an Infantry Platoon Leader with the US Army in Northern Iraq from 2008 to 2009, and is a graduate of several military schools including Ranger and Airborne School. Mr. Faw graduated from the United States Military Academy at West Point with a degree in Economics in 2007 earning awards for excellence including the Superintendent's award. Mr. Faw earned his M.B.A. from Harvard Business School in 2014 earning second year honors. Mr. Faw is also a Vice Chairman of the HBS fund council, a board member Emeritus of the Harvard Business School alumni board, and involved with various other volunteer efforts at Harvard Business School. Mr. Faw is also a passionate philanthropist, supporting causes such as scholarships, veterans, community organizations, and economic empowerment for those in need. We believe that Mr. Faw is qualified to serve on our Board due to his marketing experience and his experience as an entrepreneur, including in scaling company operations and talent management.</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 xml:space="preserve">Deborah K. Glasser </w:t>
      </w:r>
      <w:r>
        <w:rPr>
          <w:rFonts w:ascii="Times New Roman;serif" w:hAnsi="Times New Roman;serif"/>
          <w:b w:val="false"/>
          <w:i w:val="false"/>
          <w:caps w:val="false"/>
          <w:smallCaps w:val="false"/>
          <w:sz w:val="20"/>
        </w:rPr>
        <w:t>has served as a member of our Board since July 2020. Ms. Glasser currently serves as Principal of PathFinder Consulting, a career coaching advisory firm. Ms. Glasser previously held a variety of senior marketing operations positions, including as the Global Marketing Lead on the Renpure Brand at MAV Beauty Brands Inc., a Canada-based global personal care company, from February 2022 through July 2023. Ms. Glasser also previously served as Director of Marketing, Communications and Special Events for Jewish Family &amp; Children’s Services of Northern New Jersey from 2018 through January 2020. Ms. Glasser was a Senior Director at TRANZACT, a Willis Towers Watson company that provides marketing solutions for insurance companies, from 2015 to 2017; Marketing Director at Tata Global Beverages Limited (now Tata Consumer Products Limited), a consumer products company with a portfolio that includes tea and coffee, from 2007 to 2011; Senior Director at Starwood Hotels &amp; Resorts from 2004 to 2005; and in a variety of roles, including Senior Product Manager and Associate Director, at Colgate-Palmolive Company, a global consumer products company focused on oral care, personal care, home care and pet nutrition, from 1996 to 2004. In addition, Ms. Glasser was the Founder of MarketGWB, LLC, where she served as a self-employed marketing and strategy consultant, from 2011 to 2015. Previously, Ms. Glasser was an Employee Benefits and Compensation consultant with Price Waterhouse from 1992 to 1994. Ms. Glasser holds a B.A. in Economics from Cornell University and an M.B.A. from The Wharton School of the University of Pennsylvania. We believe Ms. Glasser is qualified to serve on our Board due to her operating and management experience, including in talent management, and her expertise in sales and marketing, including customer service and product innovation.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Jonathan Lennon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has served as a member of our Board since January 2026. Mr. Lennon is the Founder, Chief Executive Officer and Portfolio Manager of Pleasant Lake Partners LLC, a registered investment adviser. Prior to founding Pleasant Lake Partners LLC in 2012, Mr. Lennon was an analyst at JAT Capital Management, an investment management firm, where he served primarily in a generalist role with a focus in industrials/natural resources, media and consumer sectors and was a sector head in 2010 and 2011. Prior to that time, Mr. Lennon spent three years at Goldman Sachs &amp; Co. LLC, part of The Goldman Sachs Group, Inc., a leading global investment banking, securities, and asset and wealth management firm, where he served as an analyst in the Industrials/Natural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Resources Department, Investment Banking Division and Equities Legal Division. Mr. Lennon completed his undergraduate education at Boston College and was a Galbraith Scholar at the Kennedy School of Government at Harvard College. Mr. Lennon was appointed to the Board pursuant to the Cooperation Agreement, as described below. We believe that Mr. Lennon is qualified to serve on our Board due to his corporate governance knowledge and experience as an investor. He also brings to the Board the perspective of the Company’s most significant stockholder.</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Information about our Executive Officers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provides information about our executive officers, including their ages, as of February 23, 2026. Mr. Lolmaugh’s background is described above. </w:t>
      </w:r>
    </w:p>
    <w:tbl>
      <w:tblPr>
        <w:tblW w:w="7451" w:type="dxa"/>
        <w:jc w:val="left"/>
        <w:tblInd w:w="0" w:type="dxa"/>
        <w:tblLayout w:type="fixed"/>
        <w:tblCellMar>
          <w:top w:w="0" w:type="dxa"/>
          <w:left w:w="0" w:type="dxa"/>
          <w:bottom w:w="0" w:type="dxa"/>
          <w:right w:w="0" w:type="dxa"/>
        </w:tblCellMar>
      </w:tblPr>
      <w:tblGrid>
        <w:gridCol w:w="1771"/>
        <w:gridCol w:w="109"/>
        <w:gridCol w:w="436"/>
        <w:gridCol w:w="109"/>
        <w:gridCol w:w="5026"/>
      </w:tblGrid>
      <w:tr>
        <w:trPr/>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177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w:t>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Age</w:t>
            </w:r>
          </w:p>
        </w:tc>
        <w:tc>
          <w:tcPr>
            <w:tcW w:w="109" w:type="dxa"/>
            <w:tcBorders/>
            <w:vAlign w:val="center"/>
          </w:tcPr>
          <w:p>
            <w:pPr>
              <w:pStyle w:val="TableContents"/>
              <w:bidi w:val="0"/>
              <w:spacing w:before="0" w:after="283"/>
              <w:jc w:val="left"/>
              <w:rPr>
                <w:sz w:val="4"/>
                <w:szCs w:val="4"/>
              </w:rPr>
            </w:pPr>
            <w:r>
              <w:rPr>
                <w:sz w:val="4"/>
                <w:szCs w:val="4"/>
              </w:rPr>
            </w:r>
          </w:p>
        </w:tc>
        <w:tc>
          <w:tcPr>
            <w:tcW w:w="502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Position</w:t>
            </w:r>
          </w:p>
        </w:tc>
      </w:tr>
      <w:tr>
        <w:trPr/>
        <w:tc>
          <w:tcPr>
            <w:tcW w:w="177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Cabell H. Lolmaugh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Executive Officer, President and Director</w:t>
            </w:r>
          </w:p>
        </w:tc>
      </w:tr>
      <w:tr>
        <w:trPr/>
        <w:tc>
          <w:tcPr>
            <w:tcW w:w="17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B. Davis</w:t>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tc>
        <w:tc>
          <w:tcPr>
            <w:tcW w:w="109"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Senior Vice President, Chief Financial Officer and Secretary </w:t>
            </w:r>
          </w:p>
        </w:tc>
      </w:tr>
      <w:tr>
        <w:trPr/>
        <w:tc>
          <w:tcPr>
            <w:tcW w:w="17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Joseph Kinder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Senior Vice President, Chief Merchant Officer</w:t>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Mark B. Davis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has served as our Senior Vice President, Chief Financial Officer and Secretary since April 1, 2024. Mr. Davis previously served as our Vice President, Investor Relations, and Chief Accounting Officer from September 2019 through March 2024. He previously served as our Controller since 2014. Prior to joining us, Mr. Davis worked for Target Corporation for five years in various financial reporting and accounting management positions. Prior to joining Target Corporation, Mr. Davis worked for KPMG LLP for eight years, where he earned his CPA certification. Mr. Davis holds a Bachelor of Science degree in accounting and management from the University of Minnesota - Twin Cities.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Joseph Kinder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has served as our Senior Vice President, Chief Merchant Officer since February 2025. Mr. Kinder previously served as our Senior Vice President, Supply Chain and Distribution July 2020 to February 2025, as our Vice President, Purchasing and Chief Supply Chain Officer from October 2017 until July 2020, and as our Senior Vice President - Operations from June 2012 to July 2017. Previously, Mr. Kinder served in several roles at The Tile Shop, LLC, including as Supply Chain Manager from August 1995 until June 2012, Assistant Store Manager from March 1994 to August 1995, and as a salesperson from March 1993 to March 1994. Mr. Kinder holds a B.A. in Business from the University of St. Thomas.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Involvement in Certain Legal Proceedings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2020, the Company and the individual defendants (which include certain current and former directors) and plaintiffs entered into the Stipulation of Settlement, dated as of August 7, 2020 (the “Stipulation”), memorializing the terms of the settlement of the litigation brought against the Company and certain current and former directors of the Company by K-Bar Holdings LLC and Wynnefield Capital, Inc. in the Delaware Court of Chancery. On January 10, 2020, our then-serving directors delivered director standstill commitments (as to purchases of shares of our common stock) to us. See “Director Compensation—Standstill Agreements” in Item 11 for further details.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Cooperation Agreement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December 3, 2025, the Company and Fund 1 Investments, LLC (“Fund 1”) entered into a cooperation and support agreement (the “Cooperation Agreement”). Pleasant Lake Partners LLC serves as the investment adviser of Fund 1. Pursuant to the Cooperation Agreement, the Board agreed to increase the size of the Board and appoint two individuals proposed by Fund 1 as directors, one of whom was to be an employee of Fund 1. Messrs. Faw and Lennon were appointed to the Board in January 2026. The Company further agreed that (A) for so long as Fund 1 continues to beneficially own at least 20% of the then-outstanding shares of common stock, to nominate two Fund 1 nominees as directors, and (B) for so long as Fund 1 continues to beneficially own at least 10% of the then-outstanding shares of common stock, to nominate one Fund 1 nominee as a director, each for election to the Board at each annual meeting of stockholders as directors of the Company for terms expiring at the Company’s next annual meeting of stockholders. Subject to the terms of the Cooperation Agreement, the Company agreed to include such Fund 1 nominees in its proxy statements (or similar materials) for each annual meeting and to support the election of such Fund 1 nominees. Fund 1 also has replacement rights with respect to Fund 1 nominees, subject to certain conditions and procedures.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Family Relationships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There are no family relationships among any of our directors or executive officers.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Committees of the Board of Directors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During the fiscal year ended December 31, 2025, the Board maintained four standing committees: the Audit Committee, the Compensation Committee, the Governance Committee and the Independent Transaction Committee. Each of our standing committees operates under a written charter, which is available on the “Investor Relations” section of our website, </w:t>
      </w:r>
      <w:r>
        <w:rPr>
          <w:rFonts w:ascii="Times New Roman;serif" w:hAnsi="Times New Roman;serif"/>
          <w:b w:val="false"/>
          <w:i/>
          <w:sz w:val="20"/>
        </w:rPr>
        <w:t>investors.tileshop.com</w:t>
      </w:r>
      <w:r>
        <w:rPr>
          <w:rFonts w:ascii="Times New Roman;serif" w:hAnsi="Times New Roman;serif"/>
          <w:b w:val="false"/>
          <w:i w:val="false"/>
          <w:caps w:val="false"/>
          <w:smallCaps w:val="false"/>
          <w:sz w:val="20"/>
        </w:rPr>
        <w:t>, under the “Corporate Governance—Governance Documents” heading. The following table provides committee membership as of February 23, 2026 for each of the committees of the Board:</w:t>
      </w:r>
    </w:p>
    <w:tbl>
      <w:tblPr>
        <w:tblW w:w="9846" w:type="dxa"/>
        <w:jc w:val="left"/>
        <w:tblInd w:w="0" w:type="dxa"/>
        <w:tblLayout w:type="fixed"/>
        <w:tblCellMar>
          <w:top w:w="0" w:type="dxa"/>
          <w:left w:w="0" w:type="dxa"/>
          <w:bottom w:w="0" w:type="dxa"/>
          <w:right w:w="0" w:type="dxa"/>
        </w:tblCellMar>
      </w:tblPr>
      <w:tblGrid>
        <w:gridCol w:w="1771"/>
        <w:gridCol w:w="109"/>
        <w:gridCol w:w="571"/>
        <w:gridCol w:w="109"/>
        <w:gridCol w:w="1321"/>
        <w:gridCol w:w="109"/>
        <w:gridCol w:w="3481"/>
        <w:gridCol w:w="109"/>
        <w:gridCol w:w="2266"/>
      </w:tblGrid>
      <w:tr>
        <w:trPr/>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77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Audit</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Compensation</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Nominating and Corporate Governance</w:t>
            </w:r>
          </w:p>
        </w:tc>
        <w:tc>
          <w:tcPr>
            <w:tcW w:w="109" w:type="dxa"/>
            <w:tcBorders/>
            <w:vAlign w:val="center"/>
          </w:tcPr>
          <w:p>
            <w:pPr>
              <w:pStyle w:val="TableContents"/>
              <w:bidi w:val="0"/>
              <w:spacing w:before="0" w:after="283"/>
              <w:jc w:val="left"/>
              <w:rPr>
                <w:sz w:val="4"/>
                <w:szCs w:val="4"/>
              </w:rPr>
            </w:pPr>
            <w:r>
              <w:rPr>
                <w:sz w:val="4"/>
                <w:szCs w:val="4"/>
              </w:rPr>
            </w:r>
          </w:p>
        </w:tc>
        <w:tc>
          <w:tcPr>
            <w:tcW w:w="226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Independent Transaction</w:t>
            </w:r>
          </w:p>
        </w:tc>
      </w:tr>
      <w:tr>
        <w:trPr/>
        <w:tc>
          <w:tcPr>
            <w:tcW w:w="177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J. Bonney+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6"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w:t>
            </w:r>
          </w:p>
        </w:tc>
      </w:tr>
      <w:tr>
        <w:trPr/>
        <w:tc>
          <w:tcPr>
            <w:tcW w:w="17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Benjamin Faw</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val="false"/>
                <w:i w:val="false"/>
                <w:caps w:val="false"/>
                <w:smallCaps w:val="false"/>
                <w:sz w:val="20"/>
              </w:rPr>
              <w:t>X</w:t>
            </w:r>
            <w:r>
              <w:rPr>
                <w:rFonts w:ascii="Times New Roman;serif" w:hAnsi="Times New Roman;serif"/>
                <w:b w:val="false"/>
                <w:i w:val="false"/>
                <w:caps w:val="false"/>
                <w:smallCaps w:val="false"/>
                <w:position w:val="7"/>
                <w:sz w:val="16"/>
                <w:sz w:val="20"/>
              </w:rPr>
              <w:t>(1)</w:t>
            </w:r>
          </w:p>
        </w:tc>
      </w:tr>
      <w:tr>
        <w:trPr/>
        <w:tc>
          <w:tcPr>
            <w:tcW w:w="17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Deborah K. Glasser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8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6" w:type="dxa"/>
            <w:tcBorders/>
            <w:shd w:fill="CCEEFF" w:val="clear"/>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Peter J. Jacullo III</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Peter H. Kamin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8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6" w:type="dxa"/>
            <w:tcBorders/>
            <w:shd w:fill="CCEEFF" w:val="clear"/>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Jonathan Lennon</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Cabell H. Lolmaugh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6" w:type="dxa"/>
            <w:tcBorders/>
            <w:shd w:fill="CCEEFF" w:val="clear"/>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Committee chairperson.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Audit committee financial expert.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 Mr. Faw was appointed to the Independent Transaction Committee effective January 27, 2026.</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Delinquent Section 16(a) Reports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2025, we were subject to Section 16(a) of the Exchange Act, which required our directors and executive officers, and persons who own more than 10% of a registered class of our equity securities, to file with the SEC initial reports of ownership and reports of changes in ownership of our common stock and other equity securities. To our knowledge, based solely on a review of the copies of such reports and representations that no other reports were required, we believe that all Section 16 filing requirements applicable to our executive officers, directors and greater than 10% stockholders were complied with during the fiscal year ended December 31, 2025, except that certain transactions by Fund 1 Investments, LLC were reported untimely, including four purchases of common stock and one acquisition of a cash-settled total return swap arrangement.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Code of Business Conduct and Ethics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We have adopted a Code of Business Conduct and Ethics that applies to all of our officers, directors and employees and is available on the “Investor Relations” section of our website, at </w:t>
      </w:r>
      <w:r>
        <w:rPr>
          <w:rFonts w:ascii="Times New Roman;serif" w:hAnsi="Times New Roman;serif"/>
          <w:b w:val="false"/>
          <w:i/>
          <w:color w:val="000000"/>
          <w:sz w:val="20"/>
        </w:rPr>
        <w:t>investors.tileshop.com</w:t>
      </w:r>
      <w:r>
        <w:rPr>
          <w:rFonts w:ascii="Times New Roman;serif" w:hAnsi="Times New Roman;serif"/>
          <w:b w:val="false"/>
          <w:i w:val="false"/>
          <w:caps w:val="false"/>
          <w:smallCaps w:val="false"/>
          <w:color w:val="000000"/>
          <w:sz w:val="20"/>
        </w:rPr>
        <w:t xml:space="preserve">, under the “Corporate Governance—Governance Documents” heading. While we are no longer subject to the disclosure requirement under Item 5.05 of Form 8-K regarding an amendment to, or waiver from, a provision of our Code of Ethics and Business Conduct, we intended to satisfy such requirement by posting such information on our website at the web address and location specified above within four business days following the date of the amendment or waiver.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Insider Trading Policies and Procedures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Board has adopted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 insider trading policy (the “Insider Trading Policy”) that applies to all of the Company’s and its subsidiaries’ </w:t>
      </w:r>
      <w:bookmarkStart w:id="55" w:name="OLE_LINK49"/>
      <w:bookmarkEnd w:id="55"/>
      <w:r>
        <w:rPr>
          <w:rFonts w:ascii="Times New Roman;serif" w:hAnsi="Times New Roman;serif"/>
          <w:b w:val="false"/>
          <w:i w:val="false"/>
          <w:caps w:val="false"/>
          <w:smallCaps w:val="false"/>
          <w:sz w:val="20"/>
        </w:rPr>
        <w:t xml:space="preserve">officers, directors, employees and consultants, as well as certain related individuals and entities (collectively, the “covered persons”), to prevent the misuse of confidential information about the Company and to promote compliance with all applicable securities laws. The Insider Trading Policy also applies to material non-public information relating to other publicly traded companies when such information is obtained in connection with a covered person’s relationship with the Company. Among other things, the Insider Trading Policy prohibits engaging in transactions in the Company’s securities while in possession of material non-public information, subject to certain limited exceptions; prohibits disclosing material non-public information pertaining to the Company to any other person; and prohibits directors, officers and certain other designated individuals from engaging in transactions in the Company’s securities during certain periods. Additionally, covered persons are prohibited from engaging in any short sale transactions and from investing in Company-based derivative securities, including options, warrants, stock appreciation rights, or similar rights whose value is derived from the value of any of the Company’s equity securities, including, without limitation, trading in Company-based put or call option contracts or trading in straddles. In addition, unless prior written approval has been granted by the Chief Financial Officer, officers, directors, employees and consultants are prohibited from holding the Company’s securities in a margin account or pledging such securities as collateral. Certain individuals, including directors and officers, are required to receive pre-clearance from the Chief Financial Officer before engaging in transactions in the Company’s securities, subject to certain limited exceptions. For additional information, see the Insider Trading Policy, which is included as an exhibit to this Annual Report on Form 10-K.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bookmarkStart w:id="56" w:name="OLE_LINK361"/>
      <w:bookmarkEnd w:id="56"/>
      <w:r>
        <w:rPr>
          <w:rFonts w:ascii="Times New Roman;serif" w:hAnsi="Times New Roman;serif"/>
          <w:b w:val="false"/>
          <w:i w:val="false"/>
          <w:caps w:val="false"/>
          <w:smallCaps w:val="false"/>
          <w:sz w:val="20"/>
        </w:rPr>
        <w:t xml:space="preserve">It is also the Company’s policy that the Company will not engage in transactions in Company securities, or adopt any securities repurchase plans, while in possession of material non-public information relating to the Company or its securities other than in compliance with applicable law, subject to the policies and procedures adopted by the Company.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ITEM 11. EXECUTIVE COMPENSATIO</w:t>
      </w:r>
      <w:bookmarkStart w:id="57" w:name="ITEM_11_EXECUTIVE_COMPENSATION"/>
      <w:bookmarkEnd w:id="57"/>
      <w:r>
        <w:rPr>
          <w:rFonts w:ascii="Times New Roman;serif" w:hAnsi="Times New Roman;serif"/>
          <w:b/>
          <w:i w:val="false"/>
          <w:caps w:val="false"/>
          <w:smallCaps w:val="false"/>
          <w:color w:val="000000"/>
          <w:sz w:val="20"/>
        </w:rPr>
        <w:t>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Executive Compensation</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 xml:space="preserve">Compensation Discussion and Analysis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section discusses our policies and decisions with respect to the compensation of our executive officers named in the “Summary Compensation Table” below and the most important factors relevant to an analysis of these policies and decisions. The “named executive officers” for fiscal 2025 to whom this discussion applies are:</w:t>
      </w:r>
    </w:p>
    <w:p>
      <w:pPr>
        <w:pStyle w:val="TextBody"/>
        <w:bidi w:val="0"/>
        <w:spacing w:lineRule="auto" w:line="252"/>
        <w:ind w:left="720" w:right="0" w:hanging="360"/>
        <w:rPr/>
      </w:pPr>
      <w:r>
        <w:rPr>
          <w:caps w:val="false"/>
          <w:smallCaps w:val="false"/>
        </w:rPr>
        <w:t></w:t>
      </w:r>
      <w:r>
        <w:rPr>
          <w:rFonts w:ascii="Times New Roman;serif" w:hAnsi="Times New Roman;serif"/>
          <w:b w:val="false"/>
          <w:i w:val="false"/>
          <w:caps w:val="false"/>
          <w:smallCaps w:val="false"/>
          <w:color w:val="000000"/>
          <w:sz w:val="20"/>
        </w:rPr>
        <w:t>Cabell H. Lolmaugh, Chief Executive Officer and President;</w:t>
      </w:r>
    </w:p>
    <w:p>
      <w:pPr>
        <w:pStyle w:val="TextBody"/>
        <w:bidi w:val="0"/>
        <w:spacing w:lineRule="auto" w:line="252"/>
        <w:ind w:left="720" w:right="0" w:hanging="360"/>
        <w:rPr/>
      </w:pPr>
      <w:r>
        <w:rPr>
          <w:caps w:val="false"/>
          <w:smallCaps w:val="false"/>
        </w:rPr>
        <w:t></w:t>
      </w:r>
      <w:r>
        <w:rPr>
          <w:rFonts w:ascii="Times New Roman;serif" w:hAnsi="Times New Roman;serif"/>
          <w:b w:val="false"/>
          <w:i w:val="false"/>
          <w:caps w:val="false"/>
          <w:smallCaps w:val="false"/>
          <w:color w:val="000000"/>
          <w:sz w:val="20"/>
        </w:rPr>
        <w:t xml:space="preserve">Mark B. Davis, Senior Vice President, Chief Financial Officer and Secretary; and </w:t>
      </w:r>
    </w:p>
    <w:p>
      <w:pPr>
        <w:pStyle w:val="TextBody"/>
        <w:bidi w:val="0"/>
        <w:spacing w:lineRule="auto" w:line="252"/>
        <w:ind w:left="720" w:right="0" w:hanging="360"/>
        <w:rPr/>
      </w:pPr>
      <w:r>
        <w:rPr>
          <w:caps w:val="false"/>
          <w:smallCaps w:val="false"/>
        </w:rPr>
        <w:t></w:t>
      </w:r>
      <w:r>
        <w:rPr>
          <w:rFonts w:ascii="Times New Roman;serif" w:hAnsi="Times New Roman;serif"/>
          <w:b w:val="false"/>
          <w:i w:val="false"/>
          <w:caps w:val="false"/>
          <w:smallCaps w:val="false"/>
          <w:color w:val="000000"/>
          <w:sz w:val="20"/>
        </w:rPr>
        <w:t>Joseph Kinder, Senior Vice President, Chief Merchant Officer (formerly Senior Vice President, Supply Chain and Distribution, until February 25, 2025).</w:t>
      </w:r>
      <w:r>
        <w:rPr>
          <w:rFonts w:ascii="Times New Roman;serif" w:hAnsi="Times New Roman;serif"/>
          <w:caps w:val="false"/>
          <w:smallCaps w:val="false"/>
          <w:sz w:val="24"/>
        </w:rPr>
        <w:t xml:space="preserve"> </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Overview</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recognize that our ability to excel depends on the integrity, knowledge, imagination, skill, and teamwork of our employees. To this end, we strive to create an environment of mutual respect, encouragement, and teamwork that rewards commitment and performance and is responsive to the needs of all of our employees. The principles and objectives of our compensation and benefits programs for our employees generally, and for our named executive officers specifically, are to:</w:t>
      </w:r>
    </w:p>
    <w:p>
      <w:pPr>
        <w:pStyle w:val="TextBody"/>
        <w:bidi w:val="0"/>
        <w:spacing w:lineRule="auto" w:line="252"/>
        <w:ind w:left="720" w:right="0" w:hanging="360"/>
        <w:rPr/>
      </w:pPr>
      <w:r>
        <w:rPr>
          <w:caps w:val="false"/>
          <w:smallCaps w:val="false"/>
        </w:rPr>
        <w:t></w:t>
      </w:r>
      <w:r>
        <w:rPr>
          <w:rFonts w:ascii="Times New Roman;serif" w:hAnsi="Times New Roman;serif"/>
          <w:b w:val="false"/>
          <w:i w:val="false"/>
          <w:caps w:val="false"/>
          <w:smallCaps w:val="false"/>
          <w:color w:val="000000"/>
          <w:sz w:val="20"/>
        </w:rPr>
        <w:t>Align compensation and incentives with our corporate strategies, business, and financial objectives, and the long-term interests of our stockholders;</w:t>
      </w:r>
    </w:p>
    <w:p>
      <w:pPr>
        <w:pStyle w:val="TextBody"/>
        <w:bidi w:val="0"/>
        <w:spacing w:lineRule="auto" w:line="252"/>
        <w:ind w:left="720" w:right="0" w:hanging="360"/>
        <w:rPr/>
      </w:pPr>
      <w:r>
        <w:rPr>
          <w:caps w:val="false"/>
          <w:smallCaps w:val="false"/>
        </w:rPr>
        <w:t></w:t>
      </w:r>
      <w:r>
        <w:rPr>
          <w:rFonts w:ascii="Times New Roman;serif" w:hAnsi="Times New Roman;serif"/>
          <w:b w:val="false"/>
          <w:i w:val="false"/>
          <w:caps w:val="false"/>
          <w:smallCaps w:val="false"/>
          <w:color w:val="000000"/>
          <w:sz w:val="20"/>
        </w:rPr>
        <w:t>Motivate, reward and retain executives whose knowledge, skills, and performance ensure our continued success; and</w:t>
      </w:r>
    </w:p>
    <w:p>
      <w:pPr>
        <w:pStyle w:val="TextBody"/>
        <w:bidi w:val="0"/>
        <w:spacing w:lineRule="auto" w:line="252"/>
        <w:ind w:left="720" w:right="0" w:hanging="360"/>
        <w:rPr/>
      </w:pPr>
      <w:r>
        <w:rPr>
          <w:caps w:val="false"/>
          <w:smallCaps w:val="false"/>
        </w:rPr>
        <w:t></w:t>
      </w:r>
      <w:r>
        <w:rPr>
          <w:rFonts w:ascii="Times New Roman;serif" w:hAnsi="Times New Roman;serif"/>
          <w:b w:val="false"/>
          <w:i w:val="false"/>
          <w:caps w:val="false"/>
          <w:smallCaps w:val="false"/>
          <w:color w:val="000000"/>
          <w:sz w:val="20"/>
        </w:rPr>
        <w:t>Ensure that total compensation is fair, reasonable, and competitive.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Each of the primary elements of our executive compensation program is discussed in more detail below. While we have identified particular compensation objectives that each element of executive compensation serves, our compensation programs are designed to be flexible and complementary and to collectively serve all the executive compensation objectives described above. Accordingly, whether or not specifically mentioned below, we believe that each individual element, to some extent, serves each of our objectives. Further, while each of our named executive officers may not be compensated with all individual compensation elements, we believe that the compensation provided to each individual named executive officer is, and will be, consistent with the overall compensation philosophy and objectives set forth above.</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Compensation Determination Process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review executive compensation annually, including evaluating our philosophy and compensation program as circumstances require. As part of this review process, we apply the values and the objectives outlined above, together with consideration of the levels of compensation that we would be willing to pay to ensure that our compensation remains competitive and meets our retention objectives considering the cost to us if we were required to replace a key employee.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Compensation Committee has previously engaged Willis Towers Watson as a compensation consultant to assist in the periodic evaluation of our executive compensation programs. During 2022, the Compensation Committee engaged Willis Towers Watson to assist with benchmarking the Company’s executive compensation program and to provide a better understanding of market incentive practices. The Compensation Committee considered the information provided by the compensation consultant together with other information that the Compensation Committee deemed relevant, including the Compensation Committee’s assessments of individual executives’ performance and internal pay equity, in determining executive compensation levels for 2022 through 2025. We believe that such information, together with other information obtained by the members of our Compensation Committee, helps ensure that our compensation program remains competitive and is aligned with performance. We anticipate that our Compensation Committee will continue to adjust executive compensation levels in the future as a result of this market comparison process. Willis Towers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Watson qualifies as independent, and the Compensation Committee believes that the work Willis Towers Watson performed did not raise a conflict of interest.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establishing compensation levels for our named executive officers, the Compensation Committee considers competitive market, industry and peer group data, including general industry survey data provided by Willis Towers Watson. The Compensation Committee also considers criteria and recommendations from Willis Towers Watson regarding the composition of the peer group of companies that we use in evaluating the compensation levels of our Chief Executive Officer and our Chief Financial Officer. In selecting our peer group, the Compensation Committee considered companies in retail and distribution industries with revenues below $2.5 billion. The industry peer group used for purposes of the Company’s 2025 executive compensation program included the companies identified in the following table. </w:t>
      </w:r>
    </w:p>
    <w:tbl>
      <w:tblPr>
        <w:tblW w:w="8433" w:type="dxa"/>
        <w:jc w:val="left"/>
        <w:tblInd w:w="0" w:type="dxa"/>
        <w:tblLayout w:type="fixed"/>
        <w:tblCellMar>
          <w:top w:w="0" w:type="dxa"/>
          <w:left w:w="0" w:type="dxa"/>
          <w:bottom w:w="0" w:type="dxa"/>
          <w:right w:w="0" w:type="dxa"/>
        </w:tblCellMar>
      </w:tblPr>
      <w:tblGrid>
        <w:gridCol w:w="3466"/>
        <w:gridCol w:w="2941"/>
        <w:gridCol w:w="2026"/>
      </w:tblGrid>
      <w:tr>
        <w:trPr/>
        <w:tc>
          <w:tcPr>
            <w:tcW w:w="346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8433" w:type="dxa"/>
            <w:gridSpan w:val="3"/>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Executive Compensation Peer Group Companies</w:t>
            </w:r>
          </w:p>
        </w:tc>
      </w:tr>
      <w:tr>
        <w:trPr/>
        <w:tc>
          <w:tcPr>
            <w:tcW w:w="346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Bassett Furniture Industries, Incorporated</w:t>
            </w:r>
          </w:p>
        </w:tc>
        <w:tc>
          <w:tcPr>
            <w:tcW w:w="294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Global Industrial Company</w:t>
            </w:r>
          </w:p>
        </w:tc>
        <w:tc>
          <w:tcPr>
            <w:tcW w:w="20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MarineMax, Inc. </w:t>
            </w:r>
          </w:p>
        </w:tc>
      </w:tr>
      <w:tr>
        <w:trPr/>
        <w:tc>
          <w:tcPr>
            <w:tcW w:w="3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Boot Barn Holdings, Inc.</w:t>
            </w:r>
          </w:p>
        </w:tc>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Haverty Furniture Companies, Inc. </w:t>
            </w:r>
          </w:p>
        </w:tc>
        <w:tc>
          <w:tcPr>
            <w:tcW w:w="20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Lovesac Company</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Build-A-Bear Workshop, Inc.</w:t>
            </w:r>
          </w:p>
        </w:tc>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Kirkland’s, Inc.</w:t>
            </w:r>
          </w:p>
        </w:tc>
        <w:tc>
          <w:tcPr>
            <w:tcW w:w="20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Weyco Group, Inc.</w:t>
            </w:r>
          </w:p>
        </w:tc>
      </w:tr>
      <w:tr>
        <w:trPr/>
        <w:tc>
          <w:tcPr>
            <w:tcW w:w="3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DXP Enterprises, Inc.</w:t>
            </w:r>
          </w:p>
        </w:tc>
        <w:tc>
          <w:tcPr>
            <w:tcW w:w="294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Executive Compensation Program Components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compensation levels of our named executive officers reflect, to a significant degree, the varying roles and responsibilities of such executives.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sz w:val="20"/>
        </w:rPr>
        <w:t>Base Salary</w:t>
      </w:r>
      <w:r>
        <w:rPr>
          <w:rFonts w:ascii="Times New Roman;serif" w:hAnsi="Times New Roman;serif"/>
          <w:b w:val="false"/>
          <w:i w:val="false"/>
          <w:caps w:val="false"/>
          <w:smallCaps w:val="false"/>
          <w:sz w:val="20"/>
        </w:rPr>
        <w:t>. Base salaries of our named executive officers are initially established through arm’s length negotiation at the time an executive is hired, considering such executive’s qualifications, experience, and prior salary. Base salaries of our named executive officers are reviewed periodically by our Chief Executive Officer and Compensation Committee, and in the case of our Chief Executive Officer’s base salary, by our Board, and adjustments to base salaries are approved based on the scope of an executive’s responsibilities, individual contribution, prior experience, and sustained performance. Decisions regarding salary adjustments may consider the named executive officer’s current salary, equity or equity-linked interests, and the amounts paid to a named executive officer’s peers within our organization. In making decisions regarding salary adjustments, we may also draw upon the experience of members of our Board with other companies. Base salaries are also reviewed in the case of promotions or other significant changes in responsibility. No formulaic base salary increases are provided to our named executive officers. This strategy is consistent with our intent of offering base salaries that are cost-effective while remaining competitive.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the year ended December 31, 2024, the named executive officers’ base salaries were as follows: Mr. Lolmaugh, $424,360; Mr. Davis, $233,400; and Mr. Kinder, $278,100. In addition, in connection with the appointment of Mr. Davis as Senior Vice President, Chief Financial Officer and Secretary of the Company, effective April 1, 2024, Mr. Davis’s annual base salary was increased to $300,000. On February 25, 2025, the Board, upon the recommendation of the Compensation Committee, approved the following annual base salaries for the named executive officers, effective as of January 1, 2025: Mr. Lolmaugh, $437,000; Mr. Davis, $309,000; and Mr. Kinder, $350,000.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actual base salaries earned by all our named executive officers in 2025 are set forth in the “Summary Compensation Table” below.</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sz w:val="20"/>
        </w:rPr>
        <w:t>Omnibus Incentive Plans</w:t>
      </w:r>
      <w:r>
        <w:rPr>
          <w:rFonts w:ascii="Times New Roman;serif" w:hAnsi="Times New Roman;serif"/>
          <w:b w:val="false"/>
          <w:i/>
          <w:sz w:val="20"/>
        </w:rPr>
        <w:t>.</w:t>
      </w:r>
      <w:r>
        <w:rPr>
          <w:rFonts w:ascii="Times New Roman;serif" w:hAnsi="Times New Roman;serif"/>
          <w:sz w:val="20"/>
        </w:rPr>
        <w:t xml:space="preserve"> </w:t>
      </w:r>
      <w:r>
        <w:rPr>
          <w:rFonts w:ascii="Times New Roman;serif" w:hAnsi="Times New Roman;serif"/>
          <w:b w:val="false"/>
          <w:i w:val="false"/>
          <w:caps w:val="false"/>
          <w:smallCaps w:val="false"/>
          <w:sz w:val="20"/>
        </w:rPr>
        <w:t>In June 2012, our Board and stockholders adopted an equity award plan, which became effective on August 21, 2012. The principal purpose of the equity award plan was to attract, retain, and motivate selected employees, consultants, and directors. As initially adopted, the equity award plan provided for stock-based compensation awards. In February 2013, the Compensation Committee and the Board amended the equity award plan to also authorize grants of performance-based cash awards. At the same time, the plan was renamed the 2012 Omnibus Award Plan. The Compensation Committee administered the 2012 Omnibus Award Plan, subject to the right of our Board to assume authority for administration or delegate such authority to another committee of the Board.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April 2021, our Board adopted the 2021 Omnibus Equity Compensation Plan (the “2021 Omnibus Plan” and, together with the 2012 Omnibus Award Plan, the “Omnibus Plans”) as a successor to the 2012 Omnibus Award Plan, and our stockholders approved the 2021 Omnibus Plan at the Annual Meeting of Stockholders held on July 20, 2021. No further awards were granted under the 2012 Omnibus Award Plan after July 20, 2021, but all awards granted under the 2012 Omnibus Award Plan that were outstanding on that date remain outstanding in accordance with their terms, notwithstanding the termination of the 2012 Omnibus Award Plan.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 the Omnibus Plans, in the event of a change of control, as such term is defined in each of the Omnibus Plans, the Compensation Committee may, in its sole discretion, accelerate vesting of awards issued under the applicable Omnibus Plan such that 100% of any such award may become vested and exercisable. Additionally, the Compensation Committee has, or had, complete discretion to structure one or more awards under each of the Omnibus Plans to provide that such awards will become vested and exercisable on an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accelerated basis. The Compensation Committee may also make appropriate adjustments to awards under each of the Omnibus Plans and is authorized to provide for the acceleration, termination, assumption, substitution, or conversion of such awards in the event of a change of control or certain other unusual or nonrecurring events or transactions.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types of awards we grant under the 2021 Omnibus Plan include the following:</w:t>
      </w:r>
    </w:p>
    <w:p>
      <w:pPr>
        <w:pStyle w:val="TextBody"/>
        <w:bidi w:val="0"/>
        <w:spacing w:lineRule="auto" w:line="259"/>
        <w:rPr>
          <w:caps w:val="false"/>
          <w:smallCaps w:val="false"/>
        </w:rPr>
      </w:pPr>
      <w:r>
        <w:rPr>
          <w:caps w:val="false"/>
          <w:smallCaps w:val="false"/>
        </w:rPr>
        <w:t> </w:t>
      </w:r>
    </w:p>
    <w:p>
      <w:pPr>
        <w:pStyle w:val="TextBody"/>
        <w:bidi w:val="0"/>
        <w:spacing w:lineRule="auto" w:line="259"/>
        <w:ind w:left="720" w:right="0" w:hanging="0"/>
        <w:rPr>
          <w:rFonts w:ascii="Times New Roman;serif" w:hAnsi="Times New Roman;serif"/>
          <w:sz w:val="20"/>
        </w:rPr>
      </w:pPr>
      <w:r>
        <w:rPr>
          <w:rFonts w:ascii="Times New Roman;serif" w:hAnsi="Times New Roman;serif"/>
          <w:b w:val="false"/>
          <w:i w:val="false"/>
          <w:caps w:val="false"/>
          <w:smallCaps w:val="false"/>
          <w:sz w:val="20"/>
          <w:u w:val="single"/>
        </w:rPr>
        <w:t>Cash Performance Awards.</w:t>
      </w:r>
      <w:r>
        <w:rPr>
          <w:rFonts w:ascii="Times New Roman;serif" w:hAnsi="Times New Roman;serif"/>
          <w:sz w:val="20"/>
        </w:rPr>
        <w:t xml:space="preserve"> </w:t>
      </w:r>
      <w:r>
        <w:rPr>
          <w:rFonts w:ascii="Times New Roman;serif" w:hAnsi="Times New Roman;serif"/>
          <w:b w:val="false"/>
          <w:i w:val="false"/>
          <w:caps w:val="false"/>
          <w:smallCaps w:val="false"/>
          <w:sz w:val="20"/>
        </w:rPr>
        <w:t>When granting cash performance award opportunities, the Compensation Committee adopts specific performance targets and payout levels for each executive officer for the applicable fiscal year. Generally, the Compensation Committee reviews and certifies performance following the end of each fiscal year and may also consider discretionary factors when making awards.</w:t>
      </w:r>
    </w:p>
    <w:p>
      <w:pPr>
        <w:pStyle w:val="TextBody"/>
        <w:bidi w:val="0"/>
        <w:spacing w:lineRule="auto" w:line="259"/>
        <w:ind w:left="720" w:right="0" w:hanging="0"/>
        <w:rPr>
          <w:rFonts w:ascii="Times New Roman;serif" w:hAnsi="Times New Roman;serif"/>
          <w:b w:val="false"/>
          <w:i w:val="false"/>
          <w:caps w:val="false"/>
          <w:smallCaps w:val="false"/>
          <w:sz w:val="20"/>
        </w:rPr>
      </w:pPr>
      <w:bookmarkStart w:id="58" w:name="OLE_LINK9"/>
      <w:bookmarkEnd w:id="58"/>
      <w:r>
        <w:rPr>
          <w:rFonts w:ascii="Times New Roman;serif" w:hAnsi="Times New Roman;serif"/>
          <w:b w:val="false"/>
          <w:i w:val="false"/>
          <w:caps w:val="false"/>
          <w:smallCaps w:val="false"/>
          <w:sz w:val="20"/>
        </w:rPr>
        <w:t xml:space="preserve">In February 2025, the Compensation Committee approved specific performance targets and payout levels for executive officers for the 2025 fiscal year. Under the 2025 plan, Mr. Lolmaugh, Mr. Davis, and Mr. Kinder’s cash incentive targets represented 75%, 50%, and 50% of their 2025 year-end base salaries, respectively. The cash incentive plan for 2025 was tied to the achievement of an Adjusted EBITDA target, calculated in the manner described below, and further adjusted for changes in cash incentive bonus expenses (as adjusted, “further Adjusted EBITDA”). Messrs. Lolmaugh, Davis and Kinder each had the opportunity to receive a partial incentive payment if we achieved at least 90% of the further Adjusted EBITDA performance target and could earn up to 175% the target incentive amount if we achieved 115% of the further Adjusted EBITDA performance target. </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calculate Adjusted EBITDA by taking net (loss) income calculated in accordance with accounting principles generally accepted in the United States and adjusting for interest expense, income taxes, depreciation and amortization, and stock-based compensation expense.</w:t>
      </w:r>
    </w:p>
    <w:p>
      <w:pPr>
        <w:pStyle w:val="TextBody"/>
        <w:bidi w:val="0"/>
        <w:spacing w:lineRule="auto" w:line="259"/>
        <w:ind w:left="720" w:right="0" w:hanging="0"/>
        <w:rPr>
          <w:caps w:val="false"/>
          <w:smallCaps w:val="false"/>
        </w:rPr>
      </w:pPr>
      <w:r>
        <w:rPr>
          <w:caps w:val="false"/>
          <w:smallCaps w:val="false"/>
        </w:rPr>
        <w:t> </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2025, the Company’s further Adjusted EBITDA fell below the minimum threshold required for a cash incentive payment. Accordingly, there was no payout of any 2025 cash incentive compensation to any of our named executive officers.</w:t>
      </w:r>
    </w:p>
    <w:p>
      <w:pPr>
        <w:pStyle w:val="TextBody"/>
        <w:bidi w:val="0"/>
        <w:spacing w:lineRule="auto" w:line="259"/>
        <w:ind w:left="720" w:right="0" w:hanging="0"/>
        <w:rPr>
          <w:caps w:val="false"/>
          <w:smallCaps w:val="false"/>
        </w:rPr>
      </w:pPr>
      <w:r>
        <w:rPr>
          <w:caps w:val="false"/>
          <w:smallCaps w:val="false"/>
        </w:rPr>
        <w:t> </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cash incentive compensation opportunities granted to our named executive officers in fiscal year 2025 are set forth in the “Grants of Plan-Based Awards for Fiscal 2025” table. However, as set forth in the “Summary Compensation Table” below, none of our named executive officers received any cash incentive compensation payments for fiscal year 2025.</w:t>
      </w:r>
    </w:p>
    <w:p>
      <w:pPr>
        <w:pStyle w:val="TextBody"/>
        <w:bidi w:val="0"/>
        <w:spacing w:lineRule="auto" w:line="259"/>
        <w:ind w:left="720" w:right="0" w:hanging="0"/>
        <w:rPr>
          <w:rFonts w:ascii="Times New Roman;serif" w:hAnsi="Times New Roman;serif"/>
          <w:sz w:val="20"/>
        </w:rPr>
      </w:pPr>
      <w:r>
        <w:rPr>
          <w:rFonts w:ascii="Times New Roman;serif" w:hAnsi="Times New Roman;serif"/>
          <w:b w:val="false"/>
          <w:i w:val="false"/>
          <w:caps w:val="false"/>
          <w:smallCaps w:val="false"/>
          <w:sz w:val="20"/>
          <w:u w:val="single"/>
        </w:rPr>
        <w:t>Equity and Equity-Linked Incentives.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We use equity incentive awards to link the interests of our named executive officers with those of our stockholders. The 2021 Omnibus Plan authorizes the Compensation Committee to grant stock options (nonqualified stock options or incentive stock options) and restricted stock or any combination thereof. Vesting of such equity incentive awards is dependent in whole or in part on continued employment, to encourage the retention of our named executive officers through the vesting period of the awards. In some cases, vesting may also be partially based on certain market conditions such as the annual appreciation of our common stock or upon the attainment of certain performance conditions, such as an EBITDA target. In determining the size of equity awards to our named executive officers, our Compensation Committee considers several internal factors, such as the relative job scope, the value of outstanding equity awards, individual performance history, prior contributions to the Company, and the size of prior awards, as well as external factors such as the levels of unvested equity awards held by our executive officers in relation to their peers at comparable companies. We do not schedule the grant of stock options or other equity awards in anticipation of the disclosure of material non-public information, and we do not schedule the disclosure of material non-public information based on the timing of grants of stock options or other equity awards. We have not adopted any formal policy that would require the Compensation Committee or the Board to grant, or to avoid granting, stock options or other equity awards to our named executive officers or other employees at certain times.</w:t>
      </w:r>
    </w:p>
    <w:p>
      <w:pPr>
        <w:pStyle w:val="TextBody"/>
        <w:bidi w:val="0"/>
        <w:spacing w:lineRule="auto" w:line="259"/>
        <w:ind w:left="720" w:right="0" w:hanging="0"/>
        <w:rPr>
          <w:rFonts w:ascii="Times New Roman;serif" w:hAnsi="Times New Roman;serif"/>
          <w:b w:val="false"/>
          <w:i/>
          <w:sz w:val="20"/>
        </w:rPr>
      </w:pPr>
      <w:r>
        <w:rPr>
          <w:rFonts w:ascii="Times New Roman;serif" w:hAnsi="Times New Roman;serif"/>
          <w:b w:val="false"/>
          <w:i/>
          <w:sz w:val="20"/>
        </w:rPr>
        <w:t>2023 Equity Grants</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March 2023, we granted 18,250, 9,260, and 9,260 shares of time-based restricted stock to Mr. Lolmaugh, Mr. Davis, and Mr. Kinder, respectively and 37,039, 18,519, and 18,519 shares of performance-based restricted stock to Mr. Lolmaugh, Mr. Davis, and Mr. Kinder, respectively. The number of restricted shares granted was determined using the 30-trading day average of the Company’s closing stock price preceding the grant date. The shares of restricted stock were granted pursuant to the 2021 Omnibus Plan. The risks of forfeiture for the time-based restricted stock will lapse in three equal annual installments based on continued service. The performance-based restricted stock will vest in three installments: 30% will vest on the day that the Company files its annual report for the year ended December 31, 2023; 30% will vest on the day that the Company files its annual report for the year ended December 31, 2024; and 40% will vest on the day that the Company files its annual report for the year ended December 31, 2025, in each case subject to (i) the employee remaining in continuous employment with the Company prior to and as of December 31 of the year preceding the applicable vesting date and (ii) further subject to the Company achieving 15%, 20%, and 20% of the profit metric, defined as adjusted pretax return on capital employed (“ROCE”) (as such results are reported in the Company’s annual report for the applicable year), for the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years ended December 31, 2023, 2024, and 2025, respectively. We calculate adjusted ROCE by taking income (loss) from operations before performance share based compensation expense, divided by capital employed. Capital employed equals total assets less accounts payable, income taxes payable, other accrued liabilities, lease liability and non-interest bearing other long-term liabilities (where income statement accounts represent the activity for the trailing twelve months ended as of each of the balance sheet dates, and balance sheet accounts represent the average account balance for the four quarters ended as of each of the balance sheet dates). Given uncertain macroeconomic conditions following interest rate hikes and projections of slowing demand tied to the housing industry at the time the Compensation Committee set the 2023 performance share incentive targets, the Compensation Committee established adjusted ROCE targets for 2023 that were somewhat lower than the targets for 2022 performance share awards. In establishing adjusted ROCE targets for the 2023 performance share awards, the Compensation Committee sought to create targets that are challenging but obtainable, and aligned with the Company’s guidance and projections regarding market conditions, in order to provide strong incentives for management to continue to focus on efficient capital deployment. To further align executive compensation with performance, two-thirds of the equity incentives for 2023 were based on achieving performance goals. The Compensation Committee determined the levels of equity grants after assessing individual executives’ performance, their role with, and contributions to, the Company, and market compensation data provided by the compensation consultant.</w:t>
      </w:r>
    </w:p>
    <w:p>
      <w:pPr>
        <w:pStyle w:val="TextBody"/>
        <w:bidi w:val="0"/>
        <w:spacing w:lineRule="auto" w:line="259"/>
        <w:rPr>
          <w:caps w:val="false"/>
          <w:smallCaps w:val="false"/>
        </w:rPr>
      </w:pPr>
      <w:r>
        <w:rPr>
          <w:caps w:val="false"/>
          <w:smallCaps w:val="false"/>
        </w:rPr>
        <w:t> </w:t>
      </w:r>
    </w:p>
    <w:p>
      <w:pPr>
        <w:pStyle w:val="TextBody"/>
        <w:bidi w:val="0"/>
        <w:spacing w:lineRule="auto" w:line="259"/>
        <w:ind w:left="720" w:right="0" w:hanging="0"/>
        <w:rPr>
          <w:rFonts w:ascii="Times New Roman;serif" w:hAnsi="Times New Roman;serif"/>
          <w:sz w:val="20"/>
        </w:rPr>
      </w:pPr>
      <w:r>
        <w:rPr>
          <w:rFonts w:ascii="Times New Roman;serif" w:hAnsi="Times New Roman;serif"/>
          <w:b w:val="false"/>
          <w:i w:val="false"/>
          <w:caps w:val="false"/>
          <w:smallCaps w:val="false"/>
          <w:sz w:val="20"/>
        </w:rPr>
        <w:t xml:space="preserve">For the year ended December 31, 2023, the Company did not achieve the performance condition required for vesting of the first tranche of the performance-based restricted share awards granted in 2023. Accordingly, 11,112, </w:t>
      </w:r>
      <w:bookmarkStart w:id="59" w:name="OLE_LINK7"/>
      <w:bookmarkEnd w:id="59"/>
      <w:r>
        <w:rPr>
          <w:rFonts w:ascii="Times New Roman;serif" w:hAnsi="Times New Roman;serif"/>
          <w:b w:val="false"/>
          <w:i w:val="false"/>
          <w:caps w:val="false"/>
          <w:smallCaps w:val="false"/>
          <w:sz w:val="20"/>
        </w:rPr>
        <w:t>5,556, and 5,556 performance-based restricted shares that had previously been granted to Mr. Lolmaugh, Mr. Davis and Mr. Kinder, respectively, were cancelled in February 2024.</w:t>
      </w:r>
    </w:p>
    <w:p>
      <w:pPr>
        <w:pStyle w:val="TextBody"/>
        <w:bidi w:val="0"/>
        <w:spacing w:lineRule="auto" w:line="259"/>
        <w:ind w:left="720" w:right="0" w:hanging="0"/>
        <w:rPr>
          <w:rFonts w:ascii="Times New Roman;serif" w:hAnsi="Times New Roman;serif"/>
          <w:b w:val="false"/>
          <w:i w:val="false"/>
          <w:caps w:val="false"/>
          <w:smallCaps w:val="false"/>
          <w:sz w:val="20"/>
        </w:rPr>
      </w:pPr>
      <w:bookmarkStart w:id="60" w:name="OLE_LINK11"/>
      <w:bookmarkEnd w:id="60"/>
      <w:r>
        <w:rPr>
          <w:rFonts w:ascii="Times New Roman;serif" w:hAnsi="Times New Roman;serif"/>
          <w:b w:val="false"/>
          <w:i w:val="false"/>
          <w:caps w:val="false"/>
          <w:smallCaps w:val="false"/>
          <w:sz w:val="20"/>
        </w:rPr>
        <w:t>For the year ended December 31, 2024, the Company did not achieve the performance condition required for vesting of the second tranche of the performance-based restricted share awards granted in 2023. Accordingly, 11,112, 5,556, and 5,556 performance-based restricted shares that had previously been granted to Mr. Lolmaugh, Mr. Davis and Mr. Kinder, respectively, were cancelled in February 2025.</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year ended December 31, 2025, the Company did not achieve the performance condition required for vesting of the third tranche of the performance-based restricted share awards granted in 2023. Accordingly, 14,815, 7,407, and 7,407 performance-based restricted shares that had previously been granted to Mr. Lolmaugh, Mr. Davis and Mr. Kinder, respectively, were cancelled in February 2026 upon the filing of this Annual Report on Form 10-K.</w:t>
      </w:r>
    </w:p>
    <w:p>
      <w:pPr>
        <w:pStyle w:val="TextBody"/>
        <w:bidi w:val="0"/>
        <w:spacing w:lineRule="auto" w:line="259"/>
        <w:ind w:left="720" w:right="0" w:hanging="0"/>
        <w:rPr>
          <w:rFonts w:ascii="Times New Roman;serif" w:hAnsi="Times New Roman;serif"/>
          <w:b w:val="false"/>
          <w:i/>
          <w:sz w:val="20"/>
        </w:rPr>
      </w:pPr>
      <w:r>
        <w:rPr>
          <w:rFonts w:ascii="Times New Roman;serif" w:hAnsi="Times New Roman;serif"/>
          <w:b w:val="false"/>
          <w:i/>
          <w:sz w:val="20"/>
        </w:rPr>
        <w:t>2024 Equity Grants</w:t>
      </w:r>
    </w:p>
    <w:p>
      <w:pPr>
        <w:pStyle w:val="TextBody"/>
        <w:bidi w:val="0"/>
        <w:spacing w:lineRule="auto" w:line="259"/>
        <w:ind w:left="720" w:right="0" w:hanging="0"/>
        <w:rPr>
          <w:rFonts w:ascii="Times New Roman;serif" w:hAnsi="Times New Roman;serif"/>
          <w:sz w:val="20"/>
        </w:rPr>
      </w:pPr>
      <w:r>
        <w:rPr>
          <w:rFonts w:ascii="Times New Roman;serif" w:hAnsi="Times New Roman;serif"/>
          <w:b w:val="false"/>
          <w:i w:val="false"/>
          <w:caps w:val="false"/>
          <w:smallCaps w:val="false"/>
          <w:sz w:val="20"/>
        </w:rPr>
        <w:t xml:space="preserve">In March 2024, we granted 15,125, 7,562, and 7,562 shares of time-based restricted stock to Mr. Lolmaugh, Mr. Davis, and Mr. Kinder, respectively and 30,249, 15,125, and 15,125 shares of performance-based restricted stock to Mr. Lolmaugh, Mr. Davis, and Mr. Kinder, respectively. </w:t>
      </w:r>
      <w:bookmarkStart w:id="61" w:name="OLE_LINK54"/>
      <w:bookmarkStart w:id="62" w:name="OLE_LINK55"/>
      <w:bookmarkEnd w:id="61"/>
      <w:bookmarkEnd w:id="62"/>
      <w:r>
        <w:rPr>
          <w:rFonts w:ascii="Times New Roman;serif" w:hAnsi="Times New Roman;serif"/>
          <w:b w:val="false"/>
          <w:i w:val="false"/>
          <w:caps w:val="false"/>
          <w:smallCaps w:val="false"/>
          <w:sz w:val="20"/>
        </w:rPr>
        <w:t xml:space="preserve">The number of restricted shares granted was determined using the 30-trading day average of the Company’s closing stock price preceding the grant date. The shares of restricted stock were granted pursuant to the 2021 Omnibus Plan. </w:t>
      </w:r>
      <w:bookmarkStart w:id="63" w:name="OLE_LINK63"/>
      <w:bookmarkEnd w:id="63"/>
      <w:r>
        <w:rPr>
          <w:rFonts w:ascii="Times New Roman;serif" w:hAnsi="Times New Roman;serif"/>
          <w:b w:val="false"/>
          <w:i w:val="false"/>
          <w:caps w:val="false"/>
          <w:smallCaps w:val="false"/>
          <w:sz w:val="20"/>
        </w:rPr>
        <w:t xml:space="preserve">The risks of forfeiture for the time-based restricted stock will </w:t>
      </w:r>
      <w:bookmarkStart w:id="64" w:name="OLE_LINK62"/>
      <w:bookmarkEnd w:id="64"/>
      <w:r>
        <w:rPr>
          <w:rFonts w:ascii="Times New Roman;serif" w:hAnsi="Times New Roman;serif"/>
          <w:b w:val="false"/>
          <w:i w:val="false"/>
          <w:caps w:val="false"/>
          <w:smallCaps w:val="false"/>
          <w:sz w:val="20"/>
        </w:rPr>
        <w:t xml:space="preserve">lapse in three equal annual installments based on continued service. The performance-based restricted stock </w:t>
      </w:r>
      <w:bookmarkStart w:id="65" w:name="OLE_LINK65"/>
      <w:bookmarkEnd w:id="65"/>
      <w:r>
        <w:rPr>
          <w:rFonts w:ascii="Times New Roman;serif" w:hAnsi="Times New Roman;serif"/>
          <w:b w:val="false"/>
          <w:i w:val="false"/>
          <w:caps w:val="false"/>
          <w:smallCaps w:val="false"/>
          <w:sz w:val="20"/>
        </w:rPr>
        <w:t>will vest in three installments: 30% will vest on the day that the Company files its annual report for the year ended December 31, 2024; 30% will vest on the day that the Company files its annual report for the year ended December 31, 2025; and 40% will vest on the day that the Company files its annual report for the year ended December 31, 2026, in each case subject to (i) the employee remaining in continuous employment with the Company prior to and as of December 31 of the year preceding the applicable vesting date and (ii) further subject to the Company achieving 12%, 14% and 15% of the profit metric, defined as adjusted ROCE, for the years ended December 31, 2024, 2025, and 2026, respectively. We calculate adjusted ROCE by taking income (loss) from operations before performance share based compensation expense, divided by capital employed, calculated as described above. Given continued uncertain macroeconomic conditions following projections of slowing demand tied to the housing industry at the time the Compensation Committee set the 2024 performance share incentive targets, the Compensation Committee established adjusted ROCE targets for 2024 that were somewhat lower than the targets for 2023 performance share awards. In establishing adjusted ROCE targets for the 2024 performance share awards, the Compensation Committee again sought to create targets that are challenging but obtainable, and aligned with the Company’s guidance and projections regarding market conditions, in order to provide strong incentives for management to continue to focus on efficient capital deployment. To further align executive compensation with performance, two-thirds of the equity incentives for 2024 were based on achieving performance goals. The Compensation Committee determined the levels of equity grants after assessing individual executives’ performance, their role with, and contributions to, the Company, and market compensation data provided by the compensation consultant.</w:t>
      </w:r>
    </w:p>
    <w:p>
      <w:pPr>
        <w:pStyle w:val="TextBody"/>
        <w:bidi w:val="0"/>
        <w:spacing w:lineRule="auto" w:line="259"/>
        <w:rPr>
          <w:caps w:val="false"/>
          <w:smallCaps w:val="false"/>
        </w:rPr>
      </w:pPr>
      <w:r>
        <w:rPr>
          <w:caps w:val="false"/>
          <w:smallCaps w:val="false"/>
        </w:rPr>
        <w:t> </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in connection with his April 1, 2024 appointment as Senior Vice President, Chief Financial Officer and Secretary, Mr. Davis received a $50,000 equity award in May 2024, consisting of (i) 2,464 shares of time-based restricted stock, for which he risks of forfeiture will lapse in three equal annual installments based on continued service, and (ii) 4,928 shares of performance-based restricted stock, which will vest in three installments: 30% will vest on May 13, 2025, 30% will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vest on the day that the Company files its annual report for the year ended December 31, 2025, and 40% will vest on the day that the Company files its annual report for the year ended December 31, 2026, in each case subject to (i) Mr. Davis remaining in continuous employment with the Company prior to and as of December 31 of the year preceding the applicable vesting date and (ii) further subject to the Company achieving 12%, 14% and 15% of the profit metric, defined as adjusted ROCE and calculated as described above, for the years ended December 31, 2024, 2025, and 2026, respectively. The number of restricted shares granted was determined using the 30-trading day average of the Company’s closing stock price preceding the grant date. The shares of restricted stock were granted pursuant to the 2021 Omnibus Plan. </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year ended December 31, 2024, the Company did not achieve the performance condition required for vesting of the first tranche of the performance-based restricted share awards granted in 2024. Accordingly, 9,075, 4,538, and 4,538 performance-based restricted shares that had previously been granted to Mr. Lolmaugh, Mr. Davis and Mr. Kinder, respectively, were cancelled in February 2025 and an additional 1,478 performance-based restricted shares that had previously been granted to Mr. Davis were cancelled in May 2025. </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year ended December 31, 2025, the Company did not achieve the performance condition required for vesting of the second tranche of the performance-based restricted share awards granted in 2024. Accordingly, 9,075, 6,016, and 4,538 performance-based restricted shares that had previously been granted to Mr. Lolmaugh, Mr. Davis and Mr. Kinder, respectively, were cancelled in February 2026 upon the filing of this Annual Report on Form 10-K. </w:t>
      </w:r>
    </w:p>
    <w:p>
      <w:pPr>
        <w:pStyle w:val="TextBody"/>
        <w:bidi w:val="0"/>
        <w:spacing w:lineRule="auto" w:line="259"/>
        <w:ind w:left="720" w:right="0" w:hanging="0"/>
        <w:rPr>
          <w:rFonts w:ascii="Times New Roman;serif" w:hAnsi="Times New Roman;serif"/>
          <w:b w:val="false"/>
          <w:i/>
          <w:sz w:val="20"/>
        </w:rPr>
      </w:pPr>
      <w:r>
        <w:rPr>
          <w:rFonts w:ascii="Times New Roman;serif" w:hAnsi="Times New Roman;serif"/>
          <w:b w:val="false"/>
          <w:i/>
          <w:sz w:val="20"/>
        </w:rPr>
        <w:t>2025 Equity Grants</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March 2025, we granted 13,542, 9,028, and 9,028 shares of time-based restricted stock to Mr. Lolmaugh, Mr. Davis, and Mr. Kinder, respectively and 27,083, 18,055, and 18,055 shares of performance-based restricted stock to Mr. Lolmaugh, Mr. Davis, and Mr. Kinder, respectively. The number of restricted shares granted was determined using the 30-trading day average of the Company’s closing stock price preceding the grant date. The shares of restricted stock were granted pursuant to the 2021 Omnibus Plan. The risks of forfeiture for the time-based restricted stock will lapse in three equal annual installments based on continued service. The performance-based restricted stock will vest in three installments: 30% will vest on the day that the Company files its annual report for the year ended December 31, 2025; 30% will vest on the day that the Company files its annual report for the year ended December 31, 2026; and 40% will vest on the day that the Company files its annual report for the year ended December 31, 2027, in each case subject to (i) the employee remaining in continuous employment with the Company prior to and as of December 31 of the year preceding the applicable vesting date and (ii) further subject to the Company achieving 10%, 12% and 14% of the profit metric, defined as adjusted ROCE, as described above, for the years ended December 31, 2025, 2026, and 2027, respectively.</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year ended December 31, 2025, the Company did not achieve the performance condition required for vesting of the first tranche of the performance-based restricted share awards granted in 2025. Accordingly, 8,125, 5,417, and 5,417 performance-based restricted shares that had previously been granted to Mr. Lolmaugh, Mr. Davis and Mr. Kinder, respectively, were cancelled in February 2026 upon the filing of this Annual Report on Form 10-K.</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equity grants made to our named executive officers in fiscal year 2025 are set forth in the “Summary Compensation Table for Fiscal 2025” and the “Grants of Plan-Based Awards for Fiscal 2025” table and are further discussed under “Equity Grants” below. </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result of the Transaction, the Company does not expect that it will be required to file current or periodic reports with the SEC following the filing of this Annual Report on Form 10-K. Accordingly, the performance-based restricted shares that are intended to vest upon the date the Company files its annual report will vest on the date the Company releases its annual financial statements for the applicable fiscal year.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Retirement Savings</w:t>
      </w:r>
      <w:r>
        <w:rPr>
          <w:rFonts w:ascii="Times New Roman;serif" w:hAnsi="Times New Roman;serif"/>
          <w:b w:val="false"/>
          <w:i w:val="false"/>
          <w:caps w:val="false"/>
          <w:smallCaps w:val="false"/>
          <w:sz w:val="20"/>
        </w:rPr>
        <w:t>. All of our full-time employees, including our named executive officers, are eligible to participate in The Tile Shop 401(k) Retirement Plan. Employees may elect to reduce their current compensation by up to the statutorily prescribed annual limit, which was $23,500 in 2025 (or $31,000 for employees over 50), and to have the amount of this reduction contributed to the 401(k) plan. In fiscal year 2025, we made a matching contribution of $0.50 for every $1.00 that each applicable employee contributed to the 401(k) plan, up to a maximum of 5% of such employee’s salary. Each year, this matching contribution vests as to 20% of the aggregate matching contributions for such employee, such that all past and future matching contributions will be vested after the employee has been employed by us for a period of five years.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Perquisites</w:t>
      </w:r>
      <w:r>
        <w:rPr>
          <w:rFonts w:ascii="Times New Roman;serif" w:hAnsi="Times New Roman;serif"/>
          <w:b w:val="false"/>
          <w:i w:val="false"/>
          <w:caps w:val="false"/>
          <w:smallCaps w:val="false"/>
          <w:sz w:val="20"/>
        </w:rPr>
        <w:t xml:space="preserve">. From time to time, we have provided certain of our named executive officers with perquisites that we believe are reasonable. We do not view perquisites as a significant element of our comprehensive compensation structure, but we do believe they can be useful in attracting, motivating, and retaining executive talent. We believe that these additional benefits may assist our executive officers in performing their duties and provide time efficiencies for our executive officers in appropriate circumstances. Accordingly, we may consider providing additional perquisites in the future. There are no material perquisites to our named executive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officers that are contractual obligations pursuant to written agreements. All future practices regarding perquisites will be approved and subject to periodic review by our Compensation Committee.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Clawback Policy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2025, our executive officers were subject to our Compensation Recovery Policy, adopted in February 2023, which applied to incentive-based compensation under awards approved, awarded or granted on or after February 28, 2023 and which complied with the requirements for compensation recovery (or “clawback”) policies adopted by the SEC and Nasdaq. Following the Transaction, the policy is no longer in effect.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Risk Assessment of Compensation Policies and Practices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Compensation Committee is responsible for overseeing the management of risks relating to our compensation policies, plans and arrangements, as well as our strategies related to human capital management. The Compensation Committee addresses risk by monitoring regulatory compliance with respect to compensation matters and by setting compensation in a manner that encourages accountability and is within our range of risk tolerance. The Compensation Committee is not presently aware of any information that would lead it to believe that risks arising from our employee compensation policies and practices are reasonably likely to have a material adverse effect on us.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Compensation Committee Interlocks and Insider Participation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Members of the Compensation Committee during the fiscal year ended December 31, 2025 included Messrs. Jacullo and Bonney and Ms. Glasser. None of our Compensation Committee members has ever been one of our executive officers or employees. None of our executive officers currently serves, nor during the last fiscal year served, as a member of the board or compensation committee (or other board committee performing equivalent functions) of any entity that has one or more of its executive officers serving on our Board or Compensation Committee.</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Compensation Committee Report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Compensation Committee has reviewed and discussed the Compensation Discussion and Analysis with management. Based upon this review and discussion, the Compensation Committee recommended to the Board of Directors that the Compensation Discussion and Analysis be included in this Annual Report on Form 10-K for the fiscal year ended December 31,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Compensation Committee of the Board of Directors:</w:t>
      </w:r>
    </w:p>
    <w:p>
      <w:pPr>
        <w:pStyle w:val="TextBody"/>
        <w:bidi w:val="0"/>
        <w:spacing w:lineRule="auto" w:line="259"/>
        <w:rPr>
          <w:caps w:val="false"/>
          <w:smallCaps w:val="false"/>
        </w:rPr>
      </w:pPr>
      <w:r>
        <w:rPr>
          <w:caps w:val="false"/>
          <w:smallCaps w:val="false"/>
        </w:rPr>
        <w:t> </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Deborah K. Glasser, Chair</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J. Bonney</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Peter J. Jacullo III</w:t>
      </w:r>
    </w:p>
    <w:p>
      <w:pPr>
        <w:pStyle w:val="TextBody"/>
        <w:bidi w:val="0"/>
        <w:spacing w:lineRule="auto" w:line="259"/>
        <w:rPr>
          <w:caps w:val="false"/>
          <w:smallCaps w:val="false"/>
        </w:rPr>
      </w:pPr>
      <w:r>
        <w:rPr>
          <w:caps w:val="false"/>
          <w:smallCaps w:val="false"/>
        </w:rPr>
        <w:t> </w:t>
      </w:r>
      <w:bookmarkStart w:id="66" w:name="a_016"/>
      <w:bookmarkEnd w:id="66"/>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Summary Compensation Table for Fiscal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provides information regarding the compensation earned during the fiscal years ended December 31, 2025, 2024, and 2023 by each of the named executive officers for each year in which each individual was a named executive officer. The positions listed are those held as of December 31, 2025. </w:t>
      </w:r>
    </w:p>
    <w:tbl>
      <w:tblPr>
        <w:tblW w:w="10205" w:type="dxa"/>
        <w:jc w:val="left"/>
        <w:tblInd w:w="0" w:type="dxa"/>
        <w:tblLayout w:type="fixed"/>
        <w:tblCellMar>
          <w:top w:w="0" w:type="dxa"/>
          <w:left w:w="0" w:type="dxa"/>
          <w:bottom w:w="0" w:type="dxa"/>
          <w:right w:w="0" w:type="dxa"/>
        </w:tblCellMar>
      </w:tblPr>
      <w:tblGrid>
        <w:gridCol w:w="1522"/>
        <w:gridCol w:w="109"/>
        <w:gridCol w:w="630"/>
        <w:gridCol w:w="109"/>
        <w:gridCol w:w="853"/>
        <w:gridCol w:w="109"/>
        <w:gridCol w:w="607"/>
        <w:gridCol w:w="109"/>
        <w:gridCol w:w="1036"/>
        <w:gridCol w:w="109"/>
        <w:gridCol w:w="921"/>
        <w:gridCol w:w="109"/>
        <w:gridCol w:w="1370"/>
        <w:gridCol w:w="109"/>
        <w:gridCol w:w="1331"/>
        <w:gridCol w:w="271"/>
        <w:gridCol w:w="901"/>
      </w:tblGrid>
      <w:tr>
        <w:trPr/>
        <w:tc>
          <w:tcPr>
            <w:tcW w:w="1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52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Name and Principal Position</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Salary ($)</w:t>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Bonus ($)</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Stock Awards ($)</w:t>
            </w:r>
            <w:r>
              <w:rPr>
                <w:rFonts w:ascii="Times New Roman;serif" w:hAnsi="Times New Roman;serif"/>
                <w:caps w:val="false"/>
                <w:smallCaps w:val="false"/>
                <w:position w:val="5"/>
                <w:sz w:val="13"/>
                <w:sz w:val="16"/>
              </w:rPr>
              <w:t xml:space="preserve"> </w:t>
            </w:r>
            <w:r>
              <w:rPr>
                <w:rFonts w:ascii="Times New Roman;serif" w:hAnsi="Times New Roman;serif"/>
                <w:b/>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Option Awards ($)</w:t>
            </w:r>
            <w:r>
              <w:rPr>
                <w:rFonts w:ascii="Times New Roman;serif" w:hAnsi="Times New Roman;serif"/>
                <w:caps w:val="false"/>
                <w:smallCaps w:val="false"/>
                <w:position w:val="5"/>
                <w:sz w:val="13"/>
                <w:sz w:val="16"/>
              </w:rPr>
              <w:t xml:space="preserve"> </w:t>
            </w:r>
            <w:r>
              <w:rPr>
                <w:rFonts w:ascii="Times New Roman;serif" w:hAnsi="Times New Roman;serif"/>
                <w:b/>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370"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Non-Equity Incentive Plan</w:t>
              <w:br/>
              <w:t>‎Compensation ($)</w:t>
            </w:r>
            <w:r>
              <w:rPr>
                <w:rFonts w:ascii="Times New Roman;serif" w:hAnsi="Times New Roman;serif"/>
                <w:caps w:val="false"/>
                <w:smallCaps w:val="false"/>
                <w:position w:val="5"/>
                <w:sz w:val="13"/>
                <w:sz w:val="16"/>
              </w:rPr>
              <w:t xml:space="preserve"> </w:t>
            </w:r>
            <w:r>
              <w:rPr>
                <w:rFonts w:ascii="Times New Roman;serif" w:hAnsi="Times New Roman;serif"/>
                <w:b/>
                <w:i w:val="false"/>
                <w:caps w:val="false"/>
                <w:smallCaps w:val="false"/>
                <w:position w:val="5"/>
                <w:sz w:val="13"/>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All Other Compensation</w:t>
              <w:br/>
              <w:t>‎($)</w:t>
            </w:r>
          </w:p>
        </w:tc>
        <w:tc>
          <w:tcPr>
            <w:tcW w:w="271"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w:t>
            </w:r>
          </w:p>
        </w:tc>
      </w:tr>
      <w:tr>
        <w:trPr/>
        <w:tc>
          <w:tcPr>
            <w:tcW w:w="152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Cabell Lolmaugh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437,000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296,969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4,739</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(3)</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738,708</w:t>
            </w:r>
          </w:p>
        </w:tc>
      </w:tr>
      <w:tr>
        <w:trPr/>
        <w:tc>
          <w:tcPr>
            <w:tcW w:w="1522"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 xml:space="preserve">Chief Executive Officer and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424,360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301,737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7,022</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733,119</w:t>
            </w:r>
          </w:p>
        </w:tc>
      </w:tr>
      <w:tr>
        <w:trPr/>
        <w:tc>
          <w:tcPr>
            <w:tcW w:w="1522"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President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270,017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5,150</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687,167</w:t>
            </w:r>
          </w:p>
        </w:tc>
      </w:tr>
      <w:tr>
        <w:trPr/>
        <w:tc>
          <w:tcPr>
            <w:tcW w:w="152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Davis</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309,000</w:t>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197,977</w:t>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8,971</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(3)</w:t>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515,948</w:t>
            </w:r>
          </w:p>
        </w:tc>
      </w:tr>
      <w:tr>
        <w:trPr/>
        <w:tc>
          <w:tcPr>
            <w:tcW w:w="1522" w:type="dxa"/>
            <w:tcBorders/>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Senior Vice President and</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283,350</w:t>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200,247</w:t>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7,084</w:t>
            </w:r>
          </w:p>
        </w:tc>
        <w:tc>
          <w:tcPr>
            <w:tcW w:w="27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490,681</w:t>
            </w:r>
          </w:p>
        </w:tc>
      </w:tr>
      <w:tr>
        <w:trPr/>
        <w:tc>
          <w:tcPr>
            <w:tcW w:w="1522" w:type="dxa"/>
            <w:tcBorders/>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Chief Financial Officer</w:t>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226,600</w:t>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135,006</w:t>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5,665</w:t>
            </w:r>
          </w:p>
        </w:tc>
        <w:tc>
          <w:tcPr>
            <w:tcW w:w="27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367,271</w:t>
            </w:r>
          </w:p>
        </w:tc>
      </w:tr>
      <w:tr>
        <w:trPr/>
        <w:tc>
          <w:tcPr>
            <w:tcW w:w="152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Joseph Kinder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197,977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9,035</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(3)</w:t>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557,012</w:t>
            </w:r>
          </w:p>
        </w:tc>
      </w:tr>
      <w:tr>
        <w:trPr/>
        <w:tc>
          <w:tcPr>
            <w:tcW w:w="1522"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Senior Vice President,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150,862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6,953</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435,915</w:t>
            </w:r>
          </w:p>
        </w:tc>
      </w:tr>
      <w:tr>
        <w:trPr/>
        <w:tc>
          <w:tcPr>
            <w:tcW w:w="1522"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Supply Chain and Distribution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135,006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6,750</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411,756</w:t>
            </w:r>
          </w:p>
        </w:tc>
      </w:tr>
    </w:tbl>
    <w:p>
      <w:pPr>
        <w:pStyle w:val="TextBody"/>
        <w:bidi w:val="0"/>
        <w:spacing w:lineRule="auto" w:line="252" w:before="0" w:after="160"/>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(1)The value of stock awards and options in this table represents the fair value of such awards granted or modified during the fiscal year, as computed in accordance with Financial Accounting Standards Board Accounting Standards Codification Topic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2" w:before="0" w:after="160"/>
        <w:ind w:left="734" w:right="0" w:hanging="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718 (“Topic 718”). The assumptions used to determine the valuation of the awards are discussed in Note 9 to our consolidated financial statements, included in this Annual Report on Form 10-K.</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(2)Represents cash incentive compensation paid based on our achievement of applicable performance goals. None of our named executive officers received any cash incentive compensation payments for the 2025 fiscal year. See “Non-Equity Incentive Plan Compensation” below for additional discussion.</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(3)Represents employer 401(k) contributions, employer health savings account contributions, and taxable fringe benefits.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Grants of Plan-Based Awards for Fiscal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sets forth certain information regarding grants of plan-based awards during the fiscal year ended December 31, 2025: </w:t>
      </w:r>
    </w:p>
    <w:tbl>
      <w:tblPr>
        <w:tblW w:w="10205" w:type="dxa"/>
        <w:jc w:val="left"/>
        <w:tblInd w:w="0" w:type="dxa"/>
        <w:tblLayout w:type="fixed"/>
        <w:tblCellMar>
          <w:top w:w="0" w:type="dxa"/>
          <w:left w:w="0" w:type="dxa"/>
          <w:bottom w:w="0" w:type="dxa"/>
          <w:right w:w="0" w:type="dxa"/>
        </w:tblCellMar>
      </w:tblPr>
      <w:tblGrid>
        <w:gridCol w:w="1047"/>
        <w:gridCol w:w="109"/>
        <w:gridCol w:w="613"/>
        <w:gridCol w:w="109"/>
        <w:gridCol w:w="853"/>
        <w:gridCol w:w="109"/>
        <w:gridCol w:w="826"/>
        <w:gridCol w:w="109"/>
        <w:gridCol w:w="853"/>
        <w:gridCol w:w="109"/>
        <w:gridCol w:w="888"/>
        <w:gridCol w:w="109"/>
        <w:gridCol w:w="910"/>
        <w:gridCol w:w="264"/>
        <w:gridCol w:w="1041"/>
        <w:gridCol w:w="109"/>
        <w:gridCol w:w="796"/>
        <w:gridCol w:w="109"/>
        <w:gridCol w:w="1242"/>
      </w:tblGrid>
      <w:tr>
        <w:trPr/>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gridSpan w:val="5"/>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Estimated future payouts under</w:t>
              <w:br/>
              <w:t>‎non-equity incentive plan awards</w:t>
              <w:br/>
              <w:t>‎($)</w:t>
            </w:r>
            <w:r>
              <w:rPr>
                <w:rFonts w:ascii="Times New Roman;serif" w:hAnsi="Times New Roman;serif"/>
                <w:b/>
                <w:i w:val="false"/>
                <w:caps w:val="false"/>
                <w:smallCaps w:val="false"/>
                <w:position w:val="5"/>
                <w:sz w:val="13"/>
                <w:sz w:val="16"/>
              </w:rPr>
              <w:t>(1)</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All other stock awards: </w:t>
              <w:br/>
              <w:t>‎Number of shares of</w:t>
            </w:r>
          </w:p>
        </w:tc>
        <w:tc>
          <w:tcPr>
            <w:tcW w:w="26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All other option awards: </w:t>
              <w:br/>
              <w:t>‎Number of securities</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Exercise or base </w:t>
              <w:br/>
              <w:t>‎price</w:t>
              <w:br/>
              <w:t>‎of option</w:t>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Grant date fair value of stock and option </w:t>
            </w:r>
          </w:p>
        </w:tc>
      </w:tr>
      <w:tr>
        <w:trPr/>
        <w:tc>
          <w:tcPr>
            <w:tcW w:w="104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Name</w:t>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Grant Date</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Approval Date</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Threshold</w:t>
              <w:br/>
              <w:t>‎($)</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Target </w:t>
              <w:br/>
              <w:t>‎($)</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Maximum ($)</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0"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stock or units </w:t>
              <w:br/>
              <w:t>‎(#)</w:t>
            </w:r>
          </w:p>
        </w:tc>
        <w:tc>
          <w:tcPr>
            <w:tcW w:w="264" w:type="dxa"/>
            <w:tcBorders/>
            <w:vAlign w:val="center"/>
          </w:tcPr>
          <w:p>
            <w:pPr>
              <w:pStyle w:val="TableContents"/>
              <w:bidi w:val="0"/>
              <w:spacing w:before="0" w:after="283"/>
              <w:jc w:val="left"/>
              <w:rPr>
                <w:sz w:val="4"/>
                <w:szCs w:val="4"/>
              </w:rPr>
            </w:pPr>
            <w:r>
              <w:rPr>
                <w:sz w:val="4"/>
                <w:szCs w:val="4"/>
              </w:rPr>
            </w:r>
          </w:p>
        </w:tc>
        <w:tc>
          <w:tcPr>
            <w:tcW w:w="104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underlying options (#)</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awards ($/Sh)</w:t>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awards </w:t>
              <w:br/>
              <w:t>‎($)</w:t>
            </w:r>
          </w:p>
        </w:tc>
      </w:tr>
      <w:tr>
        <w:trPr/>
        <w:tc>
          <w:tcPr>
            <w:tcW w:w="104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Cabell Lolmaugh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2/25/2025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13,542</w:t>
            </w:r>
          </w:p>
        </w:tc>
        <w:tc>
          <w:tcPr>
            <w:tcW w:w="26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(2)</w:t>
            </w:r>
          </w:p>
        </w:tc>
        <w:tc>
          <w:tcPr>
            <w:tcW w:w="104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2"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98,992</w:t>
            </w:r>
          </w:p>
        </w:tc>
      </w:tr>
      <w:tr>
        <w:trPr/>
        <w:tc>
          <w:tcPr>
            <w:tcW w:w="104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2/25/2025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27,083</w:t>
            </w:r>
          </w:p>
        </w:tc>
        <w:tc>
          <w:tcPr>
            <w:tcW w:w="26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(3)</w:t>
            </w:r>
          </w:p>
        </w:tc>
        <w:tc>
          <w:tcPr>
            <w:tcW w:w="10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197,977</w:t>
            </w:r>
          </w:p>
        </w:tc>
      </w:tr>
      <w:tr>
        <w:trPr/>
        <w:tc>
          <w:tcPr>
            <w:tcW w:w="104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327,750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573,563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10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0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Davis</w:t>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3/3/2025</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2/25/2025</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9,028</w:t>
            </w:r>
          </w:p>
        </w:tc>
        <w:tc>
          <w:tcPr>
            <w:tcW w:w="264"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(2)</w:t>
            </w:r>
          </w:p>
        </w:tc>
        <w:tc>
          <w:tcPr>
            <w:tcW w:w="104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65,995</w:t>
            </w:r>
          </w:p>
        </w:tc>
      </w:tr>
      <w:tr>
        <w:trPr/>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3/3/2025</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2/25/2025</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18,055</w:t>
            </w:r>
          </w:p>
        </w:tc>
        <w:tc>
          <w:tcPr>
            <w:tcW w:w="264"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(3)</w:t>
            </w:r>
          </w:p>
        </w:tc>
        <w:tc>
          <w:tcPr>
            <w:tcW w:w="104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131,982</w:t>
            </w:r>
          </w:p>
        </w:tc>
      </w:tr>
      <w:tr>
        <w:trPr/>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154,500</w:t>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270,375</w:t>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6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0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Joseph Kinder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2/25/2025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9,028</w:t>
            </w:r>
          </w:p>
        </w:tc>
        <w:tc>
          <w:tcPr>
            <w:tcW w:w="26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(2)</w:t>
            </w:r>
          </w:p>
        </w:tc>
        <w:tc>
          <w:tcPr>
            <w:tcW w:w="10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65,995</w:t>
            </w:r>
          </w:p>
        </w:tc>
      </w:tr>
      <w:tr>
        <w:trPr/>
        <w:tc>
          <w:tcPr>
            <w:tcW w:w="104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2/25/2025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18,055</w:t>
            </w:r>
          </w:p>
        </w:tc>
        <w:tc>
          <w:tcPr>
            <w:tcW w:w="26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(3)</w:t>
            </w:r>
          </w:p>
        </w:tc>
        <w:tc>
          <w:tcPr>
            <w:tcW w:w="10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131,982</w:t>
            </w:r>
          </w:p>
        </w:tc>
      </w:tr>
      <w:tr>
        <w:trPr/>
        <w:tc>
          <w:tcPr>
            <w:tcW w:w="104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306,250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10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2" w:before="0" w:after="160"/>
        <w:ind w:left="720"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(1)The cash incentive compensation plan approved by the Compensation Committee in February 2025 included one performance goal, tied to the achievement of the further Adjusted EBITDA target. Messrs. Lolmaugh, Davis, and Kinder each had the opportunity to receive a partial incentive payment if the Company achieved at least 90% of the further Adjusted EBITDA performance target and could earn up to 175% the target incentive amount if the Company achieved 115% of the further Adjusted EBITDA performance target. Under the 2025 plan, Mr. Lolmaugh, Mr. Davis, and Mr. Kinder’s cash incentive targets represented 75%, 50%, and 50% of their base salaries, respectively. In 2025, the Company’s further Adjusted EBITDA fell below the minimum threshold for a cash incentive payment. Accordingly, there was no payout of any 2025 cash incentive compensation to Messrs. Lolmaugh, Davis or Kinder.</w:t>
      </w:r>
    </w:p>
    <w:p>
      <w:pPr>
        <w:pStyle w:val="TextBody"/>
        <w:bidi w:val="0"/>
        <w:spacing w:lineRule="auto" w:line="252"/>
        <w:ind w:left="720"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(2)Represents shares of time-based restricted stock. The risks of forfeiture for the time-based restricted stock will lapse in three equal annual installments based on continued service.</w:t>
      </w:r>
    </w:p>
    <w:p>
      <w:pPr>
        <w:pStyle w:val="TextBody"/>
        <w:bidi w:val="0"/>
        <w:spacing w:lineRule="auto" w:line="252"/>
        <w:ind w:left="720"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(3)Represents shares of performance-based restricted stock. The performance-based restricted stock will vest in three installments: 30% will vest on the day that the Company files its annual report for the year ended December 31, 2025; 30% will vest on the day that the Company files its annual report for the year ended December 31, 2026; and 40% will vest on the day that the Company files its annual report for the year ended December 31, 2027, in each case subject to the employee remaining in continuous employment with the Company prior to and as of December 31 of the year preceding the applicable vesting date and further subject to the Company achieving 10%, 12% and 14% of the profit metric, defined as adjusted ROCE, for the years ended December 31, 2025, 2026, and 2027, respectively. Because the adjusted ROCE profit metric for fiscal 2025 was not achieved, 30% of the performance-based restricted stock granted on March 3, 2025 was forfeited.</w:t>
      </w:r>
    </w:p>
    <w:p>
      <w:pPr>
        <w:pStyle w:val="TextBody"/>
        <w:bidi w:val="0"/>
        <w:spacing w:lineRule="auto" w:line="259"/>
        <w:ind w:left="720" w:right="0" w:hanging="0"/>
        <w:rPr>
          <w:rFonts w:ascii="Times New Roman;serif" w:hAnsi="Times New Roman;serif"/>
          <w:b w:val="false"/>
          <w:i/>
          <w:sz w:val="20"/>
        </w:rPr>
      </w:pPr>
      <w:r>
        <w:rPr>
          <w:rFonts w:ascii="Times New Roman;serif" w:hAnsi="Times New Roman;serif"/>
          <w:b w:val="false"/>
          <w:i/>
          <w:sz w:val="20"/>
        </w:rPr>
        <w:t>Offer Letter and Termination Agreements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February 2018, as the result of arm’s length negotiations, we entered into an offer letter agreement with Mr. Lolmaugh setting forth the terms and conditions of his employment as our Senior Vice President and Chief Operating Officer. Effective January 1, 2019, we updated Mr. Lolmaugh’s offer letter agreement to reflect his new title of Chief Executive Officer and President and to memorialize certain compensation changes related to his promotion. All other terms of his offer letter agreement remained unchanged.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September 2019, as the result of arm’s length negotiations, we entered into an offer letter agreement with Mr. Davis setting forth the terms and conditions of his employment as our Vice President, Investor Relations, and Chief Accounting Officer. In connection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his appointment as our Senior Vice President and Chief Financial Officer, we entered into an amendment to Mr. Davis’s offer letter agreement on March 18, 2024, reflecting Mr. Davis’s new title; providing for annual base salary of $300,000; amending Mr. Davis’s target annual cash incentive compensation opportunity to provide a target of 50% of his base salary; and providing for an additional $50,000 equity award following the issuance of the Company’s first quarter 2024 financial results.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respective offer letter agreement, Messrs. Lolmaugh and Davis are entitled to receive severance benefits if their employment is terminated by us without severance cause at any time or if they resign for good reason (as such terms are defined in the offer letter agreements), subject to execution of a full release in our favor. In such an event, Messrs. Lolmaugh and Davis are entitled to continued payment of their base salary for six months and an additional payment in an amount equal to six times our contribution amount for the monthly health insurance premium for them during the month immediately prior to termination. Upon a change of control (as such term is defined in the applicable Omnibus Plans), Messrs. Lolmaugh and Davis are also entitled to full vesting acceleration with respect to any unvested stock options if they are not offered employment by the successor entity, or if they are terminated without cause (as defined in the 2012 Omnibus Award Plan) or constructively terminated prior to the first anniversary of the change of control.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October 2020, as the result of arm’s length negotiations, we entered into an offer letter agreement with Mr. Kinder setting forth the terms and conditions of his employment as our Senior Vice President, Supply Chain and Distribution. Pursuant to the offer letter agreement, Mr. Kinder is entitled to receive severance benefits of continued payment of his base salary for six months if his employment is terminated by us without severance cause or he resigns for good reason (as such terms are defined in his offer letter agreement) due to a change of control, subject to execution of a full release in our favor. Upon a change of control, Mr. Kinder is entitled to full vesting acceleration with respect to any unvested restricted stock if he is not offered employment by the successor entity, or if he is terminated without cause or constructively terminated prior to the first anniversary of the change of control.</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February 25, 2025, in connection with his appointment to the position of Senior Vice President, Chief Merchant Officer, we entered into an employment agreement with Mr. Kinder, which superseded in its entirety his offer letter agreement described above. The employment agreement with Mr. Kinder documents the agreed terms and conditions of his employment as Senior Vice President, Chief Merchant Officer, as well as his expected subsequent transition, effective January 1, 2027, to non-executive employment as a Purchasing Advisor. Pursuant to the employment agreement, effective on February 25, 2025 and continuing through December 31, 2026 or such earlier date as his employment may be terminated for any reason (the “Officer Employment Period”), Mr. Kinder will receive an annual salary of $350,000 (effective as of January 1, 2025), will be eligible to participate in the Company’s corporate bonus program, with a target bonus opportunity of 50% of his annual salary, will be eligible to participate in the Company’s annual equity award program for executive officers, with an aggregate target annual equity award value of $200,000, and will be eligible for other employee benefits in accordance with the Company’s policies and plans. In the event of a change of control of the Company during the Officer Employment Period, Mr. Kinder generally will be entitled to accelerated vesting and exercisability of unvested restricted stock award grants if he is not offered employment or continued employment by the successor entity, or if his employment terminates within one year after the change of control as a result of his termination by the successor entity without severance cause or his resignation in a constructive termination. Further, if Mr. Kinder’s employment terminates during the Officer Employment Period due to a change of control and as a result of his termination by the successor entity without severance cause or his resignation for good reason, he will be entitled to receive cash severance in an amount equal to his then-current base salary for a six-month period, conditioned upon his provision of an effective release of claims against the Company. Pursuant to the employment agreement, if Mr. Kinder remains employed by the Company as Senior Vice President, Chief Merchant Officer through December 31, 2026, then, effective on January 1, 2027 and continuing through December 31, 2028 or such earlier date as his employment may be terminated for any reason (such period, the “Transition Period”), the Company will employ him as a Purchasing Advisor, which is a non-officer employee position. During the Transition Period, Mr. Kinder will receive an annual salary of $75,000 and will be eligible for other employee benefits in accordance with the Company’s policies and plans.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defined in the offer letter and employment agreements, “severance cause” means (1) the employee’s willful misconduct in connection with employment or willful failure to perform responsibilities in the best interests of us, as determined by (i) the Board, for each of Messrs. Lolmaugh and Davis, or (ii) the Company’s Chief Financial Officer, for Mr. Kinder; (2) conviction of, or plea of nolo contendere or guilty to, a felony other than an act involving a traffic related infraction; (3) any act of fraud, theft, embezzlement or other material dishonesty by the employee that harmed us; (4) intentional violation of a federal or state law or regulation applicable to our business, which violation was or is reasonably likely to be injurious to us; or (5) the employee’s repeated failure to perform his or her duties and obligations of his or her position with us, which failure is not cured within thirty (30) days after notice of such failure from (i) the Board, for each of Messrs. Lolmaugh and Davis, or (ii) the Chief Financial Officer, for Mr. Kinder. “Good reason” exists if an employee resigns as a result of (1) a material reduction in annual base salary or job responsibility or (2) the relocation of the employee’s principal office location to a facility or location located more than 50 miles from his or her current principal office location. The full definition of “severance cause” and “good reason” is set forth in the offer letter agreements.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purposes of the Omnibus Plans, subject to exceptions set forth in the respective Omnibus Plans, a “change of control” generally includes (1) the acquisition of more than 50% of our common stock; (2) the incumbent Board ceasing to constitute a majority of the Board during any period of two consecutive years; (3) a merger, consolidation, reorganization or business combination, or a sale of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substantially all our assets; and (4) stockholder approval of our complete liquidation or dissolution. “Cause,” as defined in the Omnibus Plans, generally means any act or omission the Compensation Committee determines constitutes cause for termination, including (1) a material violation of any of our policies, including the Code of Business Conduct and Ethics; (2) embezzlement from, or theft of, our property; (3) willful failure to perform, or gross negligence in the performance of, assigned duties; or (4) other intentional misconduct, whether related to employment or otherwise, which has, or could potentially have, a material adverse effect on our business. The full definition of “change of control” and “cause” is set forth in each of the Omnibus Plans.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connection with their offer letter and employment agreements, each of Messrs. Lolmaugh, Davis and Kinder agreed not to compete, directly or indirectly, with us, and not to solicit any of our employees or business contacts, during the term of their employment and for a period of one year thereafter</w:t>
      </w:r>
      <w:bookmarkStart w:id="67" w:name="a_019"/>
      <w:bookmarkEnd w:id="67"/>
      <w:r>
        <w:rPr>
          <w:rFonts w:ascii="Times New Roman;serif" w:hAnsi="Times New Roman;serif"/>
          <w:b w:val="false"/>
          <w:i w:val="false"/>
          <w:caps w:val="false"/>
          <w:smallCaps w:val="false"/>
          <w:sz w:val="20"/>
        </w:rPr>
        <w:t xml:space="preserve">.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Non-Equity Incentive Plan Compensation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February 2025, the Compensation Committee approved specific performance targets and payout levels for executive officers for the 2025 fiscal year. Under the 2025 plan, Mr. Lolmaugh, Mr. Davis, and Mr. Kinder’s cash incentive targets represented 75%, 50%, and 50% of their 2025 year-end base salaries, respectively. The cash incentive plan for 2025 was tied to the achievement of a further Adjusted EBITDA Target, with Adjusted EBITDA calculated in the manner described above, as further adjusted for changes in cash incentive bonus expenses. Messrs. Lolmaugh, Davis and Kinder each had the opportunity to receive a partial incentive payment if we achieved at least 90% of the further Adjusted EBITDA performance target and could earn up to 175% the target incentive amount if we achieved 115% of the further Adjusted EBITDA performance target. See below for a table setting forth the performance targets and payout levels under the plan:</w:t>
      </w:r>
    </w:p>
    <w:tbl>
      <w:tblPr>
        <w:tblW w:w="9127" w:type="dxa"/>
        <w:jc w:val="left"/>
        <w:tblInd w:w="0" w:type="dxa"/>
        <w:tblLayout w:type="fixed"/>
        <w:tblCellMar>
          <w:top w:w="0" w:type="dxa"/>
          <w:left w:w="0" w:type="dxa"/>
          <w:bottom w:w="0" w:type="dxa"/>
          <w:right w:w="0" w:type="dxa"/>
        </w:tblCellMar>
      </w:tblPr>
      <w:tblGrid>
        <w:gridCol w:w="5026"/>
        <w:gridCol w:w="481"/>
        <w:gridCol w:w="631"/>
        <w:gridCol w:w="736"/>
        <w:gridCol w:w="736"/>
        <w:gridCol w:w="736"/>
        <w:gridCol w:w="781"/>
      </w:tblGrid>
      <w:tr>
        <w:trPr/>
        <w:tc>
          <w:tcPr>
            <w:tcW w:w="502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Percentage of budgeted further Adjusted EBITDA achieved*</w:t>
            </w:r>
          </w:p>
        </w:tc>
        <w:tc>
          <w:tcPr>
            <w:tcW w:w="48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w:t>
            </w:r>
          </w:p>
        </w:tc>
        <w:tc>
          <w:tcPr>
            <w:tcW w:w="63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w:t>
            </w:r>
          </w:p>
        </w:tc>
        <w:tc>
          <w:tcPr>
            <w:tcW w:w="73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tc>
        <w:tc>
          <w:tcPr>
            <w:tcW w:w="73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w:t>
            </w:r>
          </w:p>
        </w:tc>
        <w:tc>
          <w:tcPr>
            <w:tcW w:w="73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110%</w:t>
            </w:r>
          </w:p>
        </w:tc>
        <w:tc>
          <w:tcPr>
            <w:tcW w:w="78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115%</w:t>
            </w:r>
          </w:p>
        </w:tc>
      </w:tr>
      <w:tr>
        <w:trPr/>
        <w:tc>
          <w:tcPr>
            <w:tcW w:w="50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Percentage of incentive payout level</w:t>
            </w:r>
          </w:p>
        </w:tc>
        <w:tc>
          <w:tcPr>
            <w:tcW w:w="48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w:t>
            </w:r>
          </w:p>
        </w:tc>
        <w:tc>
          <w:tcPr>
            <w:tcW w:w="63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50.0%</w:t>
            </w:r>
          </w:p>
        </w:tc>
        <w:tc>
          <w:tcPr>
            <w:tcW w:w="73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w:t>
            </w:r>
          </w:p>
        </w:tc>
        <w:tc>
          <w:tcPr>
            <w:tcW w:w="73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125.0%</w:t>
            </w:r>
          </w:p>
        </w:tc>
        <w:tc>
          <w:tcPr>
            <w:tcW w:w="73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150.0%</w:t>
            </w:r>
          </w:p>
        </w:tc>
        <w:tc>
          <w:tcPr>
            <w:tcW w:w="78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175.0%</w:t>
            </w:r>
          </w:p>
        </w:tc>
      </w:tr>
    </w:tbl>
    <w:p>
      <w:pPr>
        <w:pStyle w:val="TextBody"/>
        <w:bidi w:val="0"/>
        <w:spacing w:lineRule="auto" w:line="259"/>
        <w:ind w:left="0" w:right="0" w:firstLine="7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Payout levels for percentages between the listed ranges are proportionately adjusted.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2025, the Company did not attain the level of further Adjusted EBITDA required for payment under the cash incentive plan. Accordingly, the Compensation Committee did not approve a payout of any 2025 cash incentive compensation to Messrs. Lolmaugh, Davis or Kinder.</w:t>
      </w:r>
    </w:p>
    <w:p>
      <w:pPr>
        <w:pStyle w:val="TextBody"/>
        <w:bidi w:val="0"/>
        <w:spacing w:lineRule="auto" w:line="259"/>
        <w:rPr>
          <w:rFonts w:ascii="Times New Roman;serif" w:hAnsi="Times New Roman;serif"/>
          <w:b w:val="false"/>
          <w:i/>
          <w:sz w:val="20"/>
        </w:rPr>
      </w:pPr>
      <w:bookmarkStart w:id="68" w:name="a_020"/>
      <w:bookmarkEnd w:id="68"/>
      <w:r>
        <w:rPr>
          <w:rFonts w:ascii="Times New Roman;serif" w:hAnsi="Times New Roman;serif"/>
          <w:b w:val="false"/>
          <w:i/>
          <w:sz w:val="20"/>
        </w:rPr>
        <w:t>Equity Grants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restricted stock awards issued in fiscal year 2025 to named executive officers were issued pursuant to the 2021 Omnibus Plan. Pursuant to the 2021 Omnibus Plan, in the event of a change of control, any unvested equity awards may be accelerated at the sole discretion of the Compensation Committee.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also provided for the acceleration of vesting of certain equity awards granted to Messrs. Lolmaugh, Davis, and Kinder in the event of our change of control pursuant to their offer letter agreements. In the event of a change of control, if they are terminated without cause or are otherwise constructively terminated prior to the first anniversary of the change of control, the vesting of such unvested awards will be accelerated in full immediately prior to such termination. We believe that these acceleration opportunities will further align the interests of our executives with those of our stockholders by providing our executives an opportunity to benefit alongside our stockholders in a corporate transaction.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Outstanding Equity Awards at Fiscal Year-end for Fiscal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certain information regarding outstanding equity awards held by the named executive officers as of December 31, 2025:</w:t>
      </w:r>
    </w:p>
    <w:tbl>
      <w:tblPr>
        <w:tblW w:w="10205" w:type="dxa"/>
        <w:jc w:val="left"/>
        <w:tblInd w:w="0" w:type="dxa"/>
        <w:tblLayout w:type="fixed"/>
        <w:tblCellMar>
          <w:top w:w="0" w:type="dxa"/>
          <w:left w:w="0" w:type="dxa"/>
          <w:bottom w:w="0" w:type="dxa"/>
          <w:right w:w="0" w:type="dxa"/>
        </w:tblCellMar>
      </w:tblPr>
      <w:tblGrid>
        <w:gridCol w:w="961"/>
        <w:gridCol w:w="109"/>
        <w:gridCol w:w="596"/>
        <w:gridCol w:w="109"/>
        <w:gridCol w:w="1274"/>
        <w:gridCol w:w="1454"/>
        <w:gridCol w:w="706"/>
        <w:gridCol w:w="887"/>
        <w:gridCol w:w="109"/>
        <w:gridCol w:w="769"/>
        <w:gridCol w:w="266"/>
        <w:gridCol w:w="845"/>
        <w:gridCol w:w="831"/>
        <w:gridCol w:w="292"/>
        <w:gridCol w:w="997"/>
      </w:tblGrid>
      <w:tr>
        <w:trPr/>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1" w:type="dxa"/>
            <w:gridSpan w:val="4"/>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Option Awards</w:t>
            </w:r>
          </w:p>
        </w:tc>
        <w:tc>
          <w:tcPr>
            <w:tcW w:w="109" w:type="dxa"/>
            <w:tcBorders/>
            <w:vAlign w:val="center"/>
          </w:tcPr>
          <w:p>
            <w:pPr>
              <w:pStyle w:val="TableContents"/>
              <w:bidi w:val="0"/>
              <w:spacing w:before="0" w:after="283"/>
              <w:jc w:val="left"/>
              <w:rPr>
                <w:sz w:val="4"/>
                <w:szCs w:val="4"/>
              </w:rPr>
            </w:pPr>
            <w:r>
              <w:rPr>
                <w:sz w:val="4"/>
                <w:szCs w:val="4"/>
              </w:rPr>
            </w:r>
          </w:p>
        </w:tc>
        <w:tc>
          <w:tcPr>
            <w:tcW w:w="4000" w:type="dxa"/>
            <w:gridSpan w:val="6"/>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Stock Awards</w:t>
            </w:r>
          </w:p>
        </w:tc>
      </w:tr>
      <w:tr>
        <w:trPr/>
        <w:tc>
          <w:tcPr>
            <w:tcW w:w="96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Name</w:t>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Grant Date</w:t>
            </w:r>
          </w:p>
        </w:tc>
        <w:tc>
          <w:tcPr>
            <w:tcW w:w="109" w:type="dxa"/>
            <w:tcBorders/>
            <w:vAlign w:val="center"/>
          </w:tcPr>
          <w:p>
            <w:pPr>
              <w:pStyle w:val="TableContents"/>
              <w:bidi w:val="0"/>
              <w:spacing w:before="0" w:after="283"/>
              <w:jc w:val="left"/>
              <w:rPr>
                <w:sz w:val="4"/>
                <w:szCs w:val="4"/>
              </w:rPr>
            </w:pPr>
            <w:r>
              <w:rPr>
                <w:sz w:val="4"/>
                <w:szCs w:val="4"/>
              </w:rPr>
            </w:r>
          </w:p>
        </w:tc>
        <w:tc>
          <w:tcPr>
            <w:tcW w:w="127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 Securities Underlying Unexercised Options (#) Exercisable</w:t>
            </w:r>
          </w:p>
        </w:tc>
        <w:tc>
          <w:tcPr>
            <w:tcW w:w="145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 Securities Underlying Unexercised Options (#) Unexercisable</w:t>
            </w:r>
          </w:p>
        </w:tc>
        <w:tc>
          <w:tcPr>
            <w:tcW w:w="70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Option</w:t>
              <w:br/>
              <w:t>‎Exercise</w:t>
              <w:br/>
              <w:t>‎Price ($)</w:t>
            </w:r>
          </w:p>
        </w:tc>
        <w:tc>
          <w:tcPr>
            <w:tcW w:w="88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Option</w:t>
              <w:br/>
              <w:t>‎Expiration</w:t>
              <w:br/>
              <w:t>‎Date</w:t>
            </w:r>
          </w:p>
        </w:tc>
        <w:tc>
          <w:tcPr>
            <w:tcW w:w="109" w:type="dxa"/>
            <w:tcBorders/>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 Shares or Units of</w:t>
              <w:br/>
              <w:t>‎Stock That Have Not Vested (#)</w:t>
            </w:r>
          </w:p>
        </w:tc>
        <w:tc>
          <w:tcPr>
            <w:tcW w:w="84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Market Value of Shares or Units of Stock That Have not Vested ($)*</w:t>
            </w:r>
          </w:p>
        </w:tc>
        <w:tc>
          <w:tcPr>
            <w:tcW w:w="1123"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Equity Incentive Plan Awards: Number of Unearned Shares That Have Not Vested (#)</w:t>
            </w:r>
          </w:p>
        </w:tc>
        <w:tc>
          <w:tcPr>
            <w:tcW w:w="99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Equity Incentive Plan Awards: Market Value of Unearned Shares That Have Not Vested ($)*</w:t>
            </w:r>
          </w:p>
        </w:tc>
      </w:tr>
      <w:tr>
        <w:trPr/>
        <w:tc>
          <w:tcPr>
            <w:tcW w:w="96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Cabell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11/6/2017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4"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26,900</w:t>
            </w:r>
          </w:p>
        </w:tc>
        <w:tc>
          <w:tcPr>
            <w:tcW w:w="1454"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8.50</w:t>
            </w:r>
          </w:p>
        </w:tc>
        <w:tc>
          <w:tcPr>
            <w:tcW w:w="887"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3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97"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9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Lolmaugh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2/22/2018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56,000</w:t>
            </w:r>
          </w:p>
        </w:tc>
        <w:tc>
          <w:tcPr>
            <w:tcW w:w="145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5.55</w:t>
            </w:r>
          </w:p>
        </w:tc>
        <w:tc>
          <w:tcPr>
            <w:tcW w:w="8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2/22/2028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3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99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9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2/20/2019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97,067</w:t>
            </w:r>
          </w:p>
        </w:tc>
        <w:tc>
          <w:tcPr>
            <w:tcW w:w="145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6.26</w:t>
            </w:r>
          </w:p>
        </w:tc>
        <w:tc>
          <w:tcPr>
            <w:tcW w:w="8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2/20/2029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3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99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9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6" w:type="dxa"/>
            <w:tcBorders/>
            <w:shd w:fill="CCEEFF" w:val="clear"/>
            <w:vAlign w:val="center"/>
          </w:tcPr>
          <w:p>
            <w:pPr>
              <w:pStyle w:val="TableContents"/>
              <w:bidi w:val="0"/>
              <w:spacing w:lineRule="auto" w:line="259" w:before="0" w:after="283"/>
              <w:jc w:val="right"/>
              <w:rPr>
                <w:rFonts w:ascii="Times New Roman;serif" w:hAnsi="Times New Roman;serif"/>
                <w:sz w:val="20"/>
              </w:rPr>
            </w:pPr>
            <w:r>
              <w:rPr>
                <w:rFonts w:ascii="Times New Roman;serif" w:hAnsi="Times New Roman;serif"/>
                <w:b w:val="false"/>
                <w:i w:val="false"/>
                <w:caps w:val="false"/>
                <w:smallCaps w:val="false"/>
                <w:sz w:val="20"/>
              </w:rPr>
              <w:t>3/6/2023</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5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8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6,173</w:t>
            </w:r>
          </w:p>
        </w:tc>
        <w:tc>
          <w:tcPr>
            <w:tcW w:w="26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(2)</w:t>
            </w:r>
          </w:p>
        </w:tc>
        <w:tc>
          <w:tcPr>
            <w:tcW w:w="84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21,729</w:t>
            </w:r>
          </w:p>
        </w:tc>
        <w:tc>
          <w:tcPr>
            <w:tcW w:w="83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(1)</w:t>
            </w:r>
          </w:p>
        </w:tc>
        <w:tc>
          <w:tcPr>
            <w:tcW w:w="99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9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5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8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10,083</w:t>
            </w:r>
          </w:p>
        </w:tc>
        <w:tc>
          <w:tcPr>
            <w:tcW w:w="26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(4)</w:t>
            </w:r>
          </w:p>
        </w:tc>
        <w:tc>
          <w:tcPr>
            <w:tcW w:w="84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35,492</w:t>
            </w:r>
          </w:p>
        </w:tc>
        <w:tc>
          <w:tcPr>
            <w:tcW w:w="83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12,099</w:t>
            </w:r>
          </w:p>
        </w:tc>
        <w:tc>
          <w:tcPr>
            <w:tcW w:w="29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(3)</w:t>
            </w:r>
          </w:p>
        </w:tc>
        <w:tc>
          <w:tcPr>
            <w:tcW w:w="99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42,588</w:t>
            </w:r>
          </w:p>
        </w:tc>
      </w:tr>
      <w:tr>
        <w:trPr/>
        <w:tc>
          <w:tcPr>
            <w:tcW w:w="9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5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8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13,542</w:t>
            </w:r>
          </w:p>
        </w:tc>
        <w:tc>
          <w:tcPr>
            <w:tcW w:w="26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(7)</w:t>
            </w:r>
          </w:p>
        </w:tc>
        <w:tc>
          <w:tcPr>
            <w:tcW w:w="84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47,668</w:t>
            </w:r>
          </w:p>
        </w:tc>
        <w:tc>
          <w:tcPr>
            <w:tcW w:w="83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18,958</w:t>
            </w:r>
          </w:p>
        </w:tc>
        <w:tc>
          <w:tcPr>
            <w:tcW w:w="29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(6)</w:t>
            </w:r>
          </w:p>
        </w:tc>
        <w:tc>
          <w:tcPr>
            <w:tcW w:w="99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66,732</w:t>
            </w:r>
          </w:p>
        </w:tc>
      </w:tr>
      <w:tr>
        <w:trPr/>
        <w:tc>
          <w:tcPr>
            <w:tcW w:w="9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w:t>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11/6/2017</w:t>
            </w:r>
          </w:p>
        </w:tc>
        <w:tc>
          <w:tcPr>
            <w:tcW w:w="10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5,400</w:t>
            </w:r>
          </w:p>
        </w:tc>
        <w:tc>
          <w:tcPr>
            <w:tcW w:w="145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8.50</w:t>
            </w:r>
          </w:p>
        </w:tc>
        <w:tc>
          <w:tcPr>
            <w:tcW w:w="8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11/6/2027</w:t>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6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3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9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Davis</w:t>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lineRule="auto" w:line="259" w:before="0" w:after="283"/>
              <w:jc w:val="right"/>
              <w:rPr>
                <w:rFonts w:ascii="Times New Roman;serif" w:hAnsi="Times New Roman;serif"/>
                <w:sz w:val="20"/>
              </w:rPr>
            </w:pPr>
            <w:r>
              <w:rPr>
                <w:rFonts w:ascii="Times New Roman;serif" w:hAnsi="Times New Roman;serif"/>
                <w:b w:val="false"/>
                <w:i w:val="false"/>
                <w:caps w:val="false"/>
                <w:smallCaps w:val="false"/>
                <w:sz w:val="20"/>
              </w:rPr>
              <w:t>3/6/2023</w:t>
            </w:r>
            <w:r>
              <w:rPr>
                <w:rFonts w:ascii="Times New Roman;serif" w:hAnsi="Times New Roman;serif"/>
                <w:b w:val="false"/>
                <w:i w:val="false"/>
                <w:caps w:val="false"/>
                <w:smallCaps w:val="false"/>
                <w:position w:val="7"/>
                <w:sz w:val="16"/>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5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8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3,086</w:t>
            </w:r>
          </w:p>
        </w:tc>
        <w:tc>
          <w:tcPr>
            <w:tcW w:w="26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(2)</w:t>
            </w:r>
          </w:p>
        </w:tc>
        <w:tc>
          <w:tcPr>
            <w:tcW w:w="84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10,863</w:t>
            </w:r>
          </w:p>
        </w:tc>
        <w:tc>
          <w:tcPr>
            <w:tcW w:w="83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2"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(1)</w:t>
            </w:r>
          </w:p>
        </w:tc>
        <w:tc>
          <w:tcPr>
            <w:tcW w:w="99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3/4/2024</w:t>
            </w:r>
          </w:p>
        </w:tc>
        <w:tc>
          <w:tcPr>
            <w:tcW w:w="10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5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8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5,041</w:t>
            </w:r>
          </w:p>
        </w:tc>
        <w:tc>
          <w:tcPr>
            <w:tcW w:w="26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(4)</w:t>
            </w:r>
          </w:p>
        </w:tc>
        <w:tc>
          <w:tcPr>
            <w:tcW w:w="84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17,744</w:t>
            </w:r>
          </w:p>
        </w:tc>
        <w:tc>
          <w:tcPr>
            <w:tcW w:w="83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6,049</w:t>
            </w:r>
          </w:p>
        </w:tc>
        <w:tc>
          <w:tcPr>
            <w:tcW w:w="292"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(3)</w:t>
            </w:r>
          </w:p>
        </w:tc>
        <w:tc>
          <w:tcPr>
            <w:tcW w:w="99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21,292</w:t>
            </w:r>
          </w:p>
        </w:tc>
      </w:tr>
      <w:tr>
        <w:trPr/>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5/13/2024</w:t>
            </w:r>
          </w:p>
        </w:tc>
        <w:tc>
          <w:tcPr>
            <w:tcW w:w="10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5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8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1,642</w:t>
            </w:r>
          </w:p>
        </w:tc>
        <w:tc>
          <w:tcPr>
            <w:tcW w:w="26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(5)</w:t>
            </w:r>
          </w:p>
        </w:tc>
        <w:tc>
          <w:tcPr>
            <w:tcW w:w="84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5,780</w:t>
            </w:r>
          </w:p>
        </w:tc>
        <w:tc>
          <w:tcPr>
            <w:tcW w:w="83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1,972</w:t>
            </w:r>
          </w:p>
        </w:tc>
        <w:tc>
          <w:tcPr>
            <w:tcW w:w="292"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(3)</w:t>
            </w:r>
          </w:p>
        </w:tc>
        <w:tc>
          <w:tcPr>
            <w:tcW w:w="99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6,941</w:t>
            </w:r>
          </w:p>
        </w:tc>
      </w:tr>
      <w:tr>
        <w:trPr/>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3/3/2025</w:t>
            </w:r>
          </w:p>
        </w:tc>
        <w:tc>
          <w:tcPr>
            <w:tcW w:w="10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5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8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9,028</w:t>
            </w:r>
          </w:p>
        </w:tc>
        <w:tc>
          <w:tcPr>
            <w:tcW w:w="26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(7)</w:t>
            </w:r>
          </w:p>
        </w:tc>
        <w:tc>
          <w:tcPr>
            <w:tcW w:w="84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31,779</w:t>
            </w:r>
          </w:p>
        </w:tc>
        <w:tc>
          <w:tcPr>
            <w:tcW w:w="83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12,638</w:t>
            </w:r>
          </w:p>
        </w:tc>
        <w:tc>
          <w:tcPr>
            <w:tcW w:w="292"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(6)</w:t>
            </w:r>
          </w:p>
        </w:tc>
        <w:tc>
          <w:tcPr>
            <w:tcW w:w="99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44,486</w:t>
            </w:r>
          </w:p>
        </w:tc>
      </w:tr>
      <w:tr>
        <w:trPr/>
        <w:tc>
          <w:tcPr>
            <w:tcW w:w="9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Joseph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11/6/2017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26,900</w:t>
            </w:r>
          </w:p>
        </w:tc>
        <w:tc>
          <w:tcPr>
            <w:tcW w:w="145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8.50</w:t>
            </w:r>
          </w:p>
        </w:tc>
        <w:tc>
          <w:tcPr>
            <w:tcW w:w="8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3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99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9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Kinder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7/20/2018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50,000</w:t>
            </w:r>
          </w:p>
        </w:tc>
        <w:tc>
          <w:tcPr>
            <w:tcW w:w="145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8.80</w:t>
            </w:r>
          </w:p>
        </w:tc>
        <w:tc>
          <w:tcPr>
            <w:tcW w:w="8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7/20/2028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3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99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9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6" w:type="dxa"/>
            <w:tcBorders/>
            <w:shd w:fill="CCEEFF" w:val="clear"/>
            <w:vAlign w:val="center"/>
          </w:tcPr>
          <w:p>
            <w:pPr>
              <w:pStyle w:val="TableContents"/>
              <w:bidi w:val="0"/>
              <w:spacing w:lineRule="auto" w:line="259" w:before="0" w:after="283"/>
              <w:jc w:val="right"/>
              <w:rPr>
                <w:rFonts w:ascii="Times New Roman;serif" w:hAnsi="Times New Roman;serif"/>
                <w:sz w:val="20"/>
              </w:rPr>
            </w:pPr>
            <w:r>
              <w:rPr>
                <w:rFonts w:ascii="Times New Roman;serif" w:hAnsi="Times New Roman;serif"/>
                <w:b w:val="false"/>
                <w:i w:val="false"/>
                <w:caps w:val="false"/>
                <w:smallCaps w:val="false"/>
                <w:sz w:val="20"/>
              </w:rPr>
              <w:t>3/6/2023</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5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8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3,086</w:t>
            </w:r>
          </w:p>
        </w:tc>
        <w:tc>
          <w:tcPr>
            <w:tcW w:w="26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(2)</w:t>
            </w:r>
          </w:p>
        </w:tc>
        <w:tc>
          <w:tcPr>
            <w:tcW w:w="84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10,863</w:t>
            </w:r>
          </w:p>
        </w:tc>
        <w:tc>
          <w:tcPr>
            <w:tcW w:w="83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(1)</w:t>
            </w:r>
          </w:p>
        </w:tc>
        <w:tc>
          <w:tcPr>
            <w:tcW w:w="99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9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5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8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5,041</w:t>
            </w:r>
          </w:p>
        </w:tc>
        <w:tc>
          <w:tcPr>
            <w:tcW w:w="26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(4)</w:t>
            </w:r>
          </w:p>
        </w:tc>
        <w:tc>
          <w:tcPr>
            <w:tcW w:w="84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17,744</w:t>
            </w:r>
          </w:p>
        </w:tc>
        <w:tc>
          <w:tcPr>
            <w:tcW w:w="83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6,049</w:t>
            </w:r>
          </w:p>
        </w:tc>
        <w:tc>
          <w:tcPr>
            <w:tcW w:w="29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(3)</w:t>
            </w:r>
          </w:p>
        </w:tc>
        <w:tc>
          <w:tcPr>
            <w:tcW w:w="99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21,292</w:t>
            </w:r>
          </w:p>
        </w:tc>
      </w:tr>
      <w:tr>
        <w:trPr/>
        <w:tc>
          <w:tcPr>
            <w:tcW w:w="9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5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8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9,028</w:t>
            </w:r>
          </w:p>
        </w:tc>
        <w:tc>
          <w:tcPr>
            <w:tcW w:w="26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(7)</w:t>
            </w:r>
          </w:p>
        </w:tc>
        <w:tc>
          <w:tcPr>
            <w:tcW w:w="84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31,779</w:t>
            </w:r>
          </w:p>
        </w:tc>
        <w:tc>
          <w:tcPr>
            <w:tcW w:w="83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12,638</w:t>
            </w:r>
          </w:p>
        </w:tc>
        <w:tc>
          <w:tcPr>
            <w:tcW w:w="29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(6)</w:t>
            </w:r>
          </w:p>
        </w:tc>
        <w:tc>
          <w:tcPr>
            <w:tcW w:w="99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44,486</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*Based on the closing stock price of our common stock of $3.52 on December 31, 2025, the last trading day of the 2025 fiscal year.</w:t>
      </w:r>
    </w:p>
    <w:p>
      <w:pPr>
        <w:pStyle w:val="TextBody"/>
        <w:bidi w:val="0"/>
        <w:spacing w:lineRule="auto" w:line="259"/>
        <w:rPr>
          <w:caps w:val="false"/>
          <w:smallCaps w:val="false"/>
        </w:rPr>
      </w:pPr>
      <w:r>
        <w:rPr>
          <w:caps w:val="false"/>
          <w:smallCaps w:val="false"/>
        </w:rPr>
        <w:t> </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(1)The shares of performance-based restricted stock granted on March 6, 2023 provided for vesting in three installments: 30% to vest on the day that the Company filed its annual report for the year ended December 31, 2023; 30% to vest on the day that the Company filed its annual report for the year ended December 31, 2024; and 40% to vest on the day that the Company filed its annual report for the year ended December 31, 2025, in each case subject to (i) the employee remaining in continuous employment with the Company prior to and as of December 31 of the year preceding the applicable vesting date and (ii) further subject to the Company achieving 15%, 20%, and 20% of the applicable profit metric for the years ended December 31, 2023, 2024, and 2025, respectively. Because the profit metric for fiscal 2025 was not achieved, the final installment of the performance-based restricted stock granted on March 6, 2023 was forfeited as of the date of filing this Annual Report on Form 10-K and is therefore not reported in this table.</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(2)The risks of forfeiture for these shares of restricted stock will lapse on March 6, 2026.</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(3)The shares of performance-based restricted stock granted on March 4, 2024 and May 13, 2024 provide for vesting in three installments: 30% to vest on the day that the Company files its annual report for the year ended December 31, 2024, except for the shares granted to Mr. Davis on May 13, 2024, for which 30% will vest on May 13, 2025; 30% to vest on the day that the Company files its annual report for the year ended December 31, 2025; and 40% to vest on the day that the Company files its annual report for the year ended December 31, 2026, in each case subject to (i) the employee remaining in continuous employment with the Company prior to and as of December 31 of the year preceding the applicable vesting date and (ii) further subject to the Company achieving 12%, 14%, and 15% of the applicable profit metric for the years ended December 31, 2024, 2025, and 2026, respectively. Because the profit metric for fiscal 2025 was not achieved, the second installment of the performance-based restricted stock granted on March 4, 2024 and May 13, 2024, or 30% of the initial grant, was forfeited as of the date of filing this Annual Report on Form 10-K and is therefore not reported in this table. The remainder of the performance-based restricted stock granted on March 4, 2024 and May 13, 2024, or 40% of the initial grant, is reported in this table at the target level. </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(4)The risks of forfeiture for these shares of restricted stock will lapse in two equal annual installments beginning on March 4, 2026.</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(5)The risks of forfeiture for these shares of restricted stock will lapse in two equal annual installments beginning on May 13, 2026.</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(6)The shares of performance-based restricted stock granted on March 3, 2025 provide for vesting in three installments: 30% to vest on the day that the Company files its annual report for the year ended December 31, 2025; 30% to vest on the day that the Company files its annual report for the year ended December 31, 2026; and 40% to vest on the day that the Company files its annual report for the year ended December 31, 2027, in each case subject to (i) the employee remaining in continuous employment with the Company prior to and as of December 31 of the year preceding the applicable vesting date and (ii) further subject to the Company achieving 10%, 12% and 14% of the applicable profit metric for the years ended December 31, 2025, 2026, and 2027, respectively. Because the profit metric for fiscal 2025 was not achieved, the first installment of the performance-based restricted stock granted on March 3, 2025, or 30% of the initial grant, was forfeited as of the date of filing this Annual Report on Form 10-K and is therefore not reported in this table. The remainder of the performance-based restricted stock granted on March 3, 2025, or 70% of the initial grant, is reported in this table at the target level.</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(7)The risks of forfeiture for these shares of restricted stock will lapse in three equal annual installments beginning on March 3, 2026.</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Option Exercises and Stock Vested for Fiscal 2025</w:t>
      </w:r>
    </w:p>
    <w:p>
      <w:pPr>
        <w:pStyle w:val="TextBody"/>
        <w:bidi w:val="0"/>
        <w:spacing w:lineRule="auto" w:line="259"/>
        <w:rPr>
          <w:caps w:val="false"/>
          <w:smallCaps w:val="false"/>
        </w:rPr>
      </w:pPr>
      <w:r>
        <w:rPr>
          <w:caps w:val="false"/>
          <w:smallCaps w:val="false"/>
        </w:rPr>
        <w:t> </w:t>
      </w:r>
    </w:p>
    <w:p>
      <w:pPr>
        <w:pStyle w:val="TextBody"/>
        <w:bidi w:val="0"/>
        <w:spacing w:lineRule="auto" w:line="252"/>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named executive officers had restricted common stock vest during the fiscal year ended December 31, 2025. No named executive officer exercised stock options during the 2025 fiscal year.</w:t>
      </w:r>
    </w:p>
    <w:tbl>
      <w:tblPr>
        <w:tblW w:w="8693" w:type="dxa"/>
        <w:jc w:val="left"/>
        <w:tblInd w:w="0" w:type="dxa"/>
        <w:tblLayout w:type="fixed"/>
        <w:tblCellMar>
          <w:top w:w="0" w:type="dxa"/>
          <w:left w:w="0" w:type="dxa"/>
          <w:bottom w:w="0" w:type="dxa"/>
          <w:right w:w="0" w:type="dxa"/>
        </w:tblCellMar>
      </w:tblPr>
      <w:tblGrid>
        <w:gridCol w:w="1546"/>
        <w:gridCol w:w="109"/>
        <w:gridCol w:w="3871"/>
        <w:gridCol w:w="316"/>
        <w:gridCol w:w="2851"/>
      </w:tblGrid>
      <w:tr>
        <w:trPr/>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8" w:type="dxa"/>
            <w:gridSpan w:val="3"/>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Stock Awards</w:t>
            </w:r>
          </w:p>
        </w:tc>
      </w:tr>
      <w:tr>
        <w:trPr/>
        <w:tc>
          <w:tcPr>
            <w:tcW w:w="154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w:t>
            </w:r>
          </w:p>
        </w:tc>
        <w:tc>
          <w:tcPr>
            <w:tcW w:w="109" w:type="dxa"/>
            <w:tcBorders/>
            <w:vAlign w:val="center"/>
          </w:tcPr>
          <w:p>
            <w:pPr>
              <w:pStyle w:val="TableContents"/>
              <w:bidi w:val="0"/>
              <w:spacing w:before="0" w:after="283"/>
              <w:jc w:val="left"/>
              <w:rPr>
                <w:sz w:val="4"/>
                <w:szCs w:val="4"/>
              </w:rPr>
            </w:pPr>
            <w:r>
              <w:rPr>
                <w:sz w:val="4"/>
                <w:szCs w:val="4"/>
              </w:rPr>
            </w:r>
          </w:p>
        </w:tc>
        <w:tc>
          <w:tcPr>
            <w:tcW w:w="38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sz w:val="25"/>
              </w:rPr>
            </w:pPr>
            <w:r>
              <w:rPr>
                <w:rFonts w:ascii="Times New Roman;serif" w:hAnsi="Times New Roman;serif"/>
                <w:b/>
                <w:i w:val="false"/>
                <w:caps w:val="false"/>
                <w:smallCaps w:val="false"/>
                <w:sz w:val="20"/>
              </w:rPr>
              <w:t>Number of Shares Acquired on Vesting (#)</w:t>
            </w:r>
            <w:r>
              <w:rPr>
                <w:rFonts w:ascii="Times New Roman;serif" w:hAnsi="Times New Roman;serif"/>
                <w:b/>
                <w:i w:val="false"/>
                <w:caps w:val="false"/>
                <w:smallCaps w:val="false"/>
                <w:position w:val="8"/>
                <w:sz w:val="20"/>
                <w:sz w:val="25"/>
              </w:rPr>
              <w:t>(1)</w:t>
            </w:r>
          </w:p>
        </w:tc>
        <w:tc>
          <w:tcPr>
            <w:tcW w:w="3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8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sz w:val="25"/>
              </w:rPr>
            </w:pPr>
            <w:r>
              <w:rPr>
                <w:rFonts w:ascii="Times New Roman;serif" w:hAnsi="Times New Roman;serif"/>
                <w:b/>
                <w:i w:val="false"/>
                <w:caps w:val="false"/>
                <w:smallCaps w:val="false"/>
                <w:sz w:val="20"/>
              </w:rPr>
              <w:t>Value Realized on Vesting ($)</w:t>
            </w:r>
            <w:r>
              <w:rPr>
                <w:rFonts w:ascii="Times New Roman;serif" w:hAnsi="Times New Roman;serif"/>
                <w:b/>
                <w:i w:val="false"/>
                <w:caps w:val="false"/>
                <w:smallCaps w:val="false"/>
                <w:position w:val="8"/>
                <w:sz w:val="20"/>
                <w:sz w:val="25"/>
              </w:rPr>
              <w:t>(2)</w:t>
            </w:r>
          </w:p>
        </w:tc>
      </w:tr>
      <w:tr>
        <w:trPr/>
        <w:tc>
          <w:tcPr>
            <w:tcW w:w="154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Cabell Lolmaugh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7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16,352</w:t>
            </w:r>
          </w:p>
        </w:tc>
        <w:tc>
          <w:tcPr>
            <w:tcW w:w="3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(3)</w:t>
            </w:r>
          </w:p>
        </w:tc>
        <w:tc>
          <w:tcPr>
            <w:tcW w:w="285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113,418</w:t>
            </w:r>
          </w:p>
        </w:tc>
      </w:tr>
      <w:tr>
        <w:trPr/>
        <w:tc>
          <w:tcPr>
            <w:tcW w:w="15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Davis</w:t>
            </w:r>
          </w:p>
        </w:tc>
        <w:tc>
          <w:tcPr>
            <w:tcW w:w="109"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8,998</w:t>
            </w:r>
          </w:p>
        </w:tc>
        <w:tc>
          <w:tcPr>
            <w:tcW w:w="31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(4)</w:t>
            </w:r>
          </w:p>
        </w:tc>
        <w:tc>
          <w:tcPr>
            <w:tcW w:w="285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61,855</w:t>
            </w:r>
          </w:p>
        </w:tc>
      </w:tr>
      <w:tr>
        <w:trPr/>
        <w:tc>
          <w:tcPr>
            <w:tcW w:w="15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Joseph Kinder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7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8,176</w:t>
            </w:r>
          </w:p>
        </w:tc>
        <w:tc>
          <w:tcPr>
            <w:tcW w:w="3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(5)</w:t>
            </w:r>
          </w:p>
        </w:tc>
        <w:tc>
          <w:tcPr>
            <w:tcW w:w="285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56,709</w:t>
            </w:r>
          </w:p>
        </w:tc>
      </w:tr>
    </w:tbl>
    <w:p>
      <w:pPr>
        <w:pStyle w:val="TextBody"/>
        <w:bidi w:val="0"/>
        <w:spacing w:lineRule="auto" w:line="252" w:before="0" w:after="160"/>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(1)The Company did not achieve the performance conditions required for vesting of the performance-based restricted share awards granted in 2022, 2023, and 2024. Accordingly, an aggregate of 32,516, 17,737, and 16,259 performance-based restricted shares that had previously been granted to Mr. Lolmaugh, Mr. Davis, and Mr. Kinder were cancelled in February 2025 and are not included in this table.</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(2)The amounts shown are calculated based on the closing price per share of our common stock on the date the shares vested.</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(3)Includes 5,627 shares that were withheld to cover taxes and 10,725 shares that were issued to Mr. Lolmaugh.</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(4)Includes 3,233 shares that were withheld to cover taxes and 5,765 shares that were issued to Mr. Davis.</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(5)Includes 2,937 shares that were withheld to cover taxes and 5,239 shares that were issued to Mr. Kinder.</w:t>
      </w:r>
    </w:p>
    <w:p>
      <w:pPr>
        <w:pStyle w:val="TextBody"/>
        <w:bidi w:val="0"/>
        <w:spacing w:lineRule="auto" w:line="259"/>
        <w:rPr>
          <w:rFonts w:ascii="Times New Roman;serif" w:hAnsi="Times New Roman;serif"/>
          <w:b w:val="false"/>
          <w:i/>
          <w:sz w:val="20"/>
        </w:rPr>
      </w:pPr>
      <w:bookmarkStart w:id="69" w:name="a_023"/>
      <w:bookmarkEnd w:id="69"/>
      <w:r>
        <w:rPr>
          <w:rFonts w:ascii="Times New Roman;serif" w:hAnsi="Times New Roman;serif"/>
          <w:b w:val="false"/>
          <w:i/>
          <w:sz w:val="20"/>
        </w:rPr>
        <w:t>Pension Benefits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did not sponsor any defined benefit pension or other actuarial plan for our named executive officers during the fiscal year ended December 31, 2025. </w:t>
      </w:r>
    </w:p>
    <w:p>
      <w:pPr>
        <w:pStyle w:val="TextBody"/>
        <w:bidi w:val="0"/>
        <w:spacing w:lineRule="auto" w:line="259"/>
        <w:rPr>
          <w:rFonts w:ascii="Times New Roman;serif" w:hAnsi="Times New Roman;serif"/>
          <w:b w:val="false"/>
          <w:i/>
          <w:sz w:val="20"/>
        </w:rPr>
      </w:pPr>
      <w:bookmarkStart w:id="70" w:name="a_024"/>
      <w:bookmarkEnd w:id="70"/>
      <w:r>
        <w:rPr>
          <w:rFonts w:ascii="Times New Roman;serif" w:hAnsi="Times New Roman;serif"/>
          <w:b w:val="false"/>
          <w:i/>
          <w:sz w:val="20"/>
        </w:rPr>
        <w:t>Nonqualified Deferred Compensation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 nonqualified deferred compensation was paid to or earned by the named executive officers during the fiscal year ended December 31, 2025.</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 xml:space="preserve">Potential Payments Upon Termination or Change in Control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discussed above in connection with each named executive officer’s offer letter agreement, Messrs. Lolmaugh and Davis are eligible to receive severance benefits in the event that their employment is terminated by us without cause or by the employee for good reason, and Mr. Kinder is eligible to receive severance benefits in the event that his employment is terminated by us without cause or by him for good reason due to a change of control. Additionally, Messrs. Lolmaugh, Davis, and Kinder are entitled to full vesting of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outstanding equity awards if, in the event of a change of control, they are not offered employment by the successor entity, or they are terminated without cause or are otherwise constructively terminated prior to the first anniversary of the change of control.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 information regarding non-competition and non-solicitation provisions is disclosed above under “Offer Letter and Termination Agreements.”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amounts payable by us to each of our named executive officers, assuming that each individual’s employment had terminated on December 31, 2025, under each scenario are as follows:</w:t>
      </w:r>
    </w:p>
    <w:tbl>
      <w:tblPr>
        <w:tblW w:w="6776" w:type="dxa"/>
        <w:jc w:val="left"/>
        <w:tblInd w:w="0" w:type="dxa"/>
        <w:tblLayout w:type="fixed"/>
        <w:tblCellMar>
          <w:top w:w="0" w:type="dxa"/>
          <w:left w:w="0" w:type="dxa"/>
          <w:bottom w:w="0" w:type="dxa"/>
          <w:right w:w="0" w:type="dxa"/>
        </w:tblCellMar>
      </w:tblPr>
      <w:tblGrid>
        <w:gridCol w:w="1546"/>
        <w:gridCol w:w="109"/>
        <w:gridCol w:w="1336"/>
        <w:gridCol w:w="316"/>
        <w:gridCol w:w="1366"/>
        <w:gridCol w:w="316"/>
        <w:gridCol w:w="1426"/>
        <w:gridCol w:w="361"/>
      </w:tblGrid>
      <w:tr>
        <w:trPr/>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4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Name</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In Connection</w:t>
              <w:br/>
              <w:t>‎with a Change in</w:t>
              <w:br/>
              <w:t>‎Control ($)</w:t>
            </w:r>
            <w:r>
              <w:rPr>
                <w:rFonts w:ascii="Times New Roman;serif" w:hAnsi="Times New Roman;serif"/>
                <w:b/>
                <w:i w:val="false"/>
                <w:caps w:val="false"/>
                <w:smallCaps w:val="false"/>
                <w:position w:val="5"/>
                <w:sz w:val="13"/>
                <w:sz w:val="16"/>
              </w:rPr>
              <w:t>(1)</w:t>
            </w:r>
          </w:p>
        </w:tc>
        <w:tc>
          <w:tcPr>
            <w:tcW w:w="316" w:type="dxa"/>
            <w:tcBorders/>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By Company Not</w:t>
              <w:br/>
              <w:t>‎for Cause ($)</w:t>
            </w:r>
            <w:r>
              <w:rPr>
                <w:rFonts w:ascii="Times New Roman;serif" w:hAnsi="Times New Roman;serif"/>
                <w:caps w:val="false"/>
                <w:smallCaps w:val="false"/>
                <w:position w:val="5"/>
                <w:sz w:val="13"/>
                <w:sz w:val="16"/>
              </w:rPr>
              <w:t> </w:t>
            </w:r>
          </w:p>
        </w:tc>
        <w:tc>
          <w:tcPr>
            <w:tcW w:w="316" w:type="dxa"/>
            <w:tcBorders/>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By NEO for Good</w:t>
              <w:br/>
              <w:t>‎Reason ($)</w:t>
            </w:r>
          </w:p>
        </w:tc>
        <w:tc>
          <w:tcPr>
            <w:tcW w:w="361" w:type="dxa"/>
            <w:tcBorders/>
            <w:vAlign w:val="center"/>
          </w:tcPr>
          <w:p>
            <w:pPr>
              <w:pStyle w:val="TableContents"/>
              <w:bidi w:val="0"/>
              <w:spacing w:before="0" w:after="283"/>
              <w:jc w:val="left"/>
              <w:rPr>
                <w:sz w:val="4"/>
                <w:szCs w:val="4"/>
              </w:rPr>
            </w:pPr>
            <w:r>
              <w:rPr>
                <w:sz w:val="4"/>
                <w:szCs w:val="4"/>
              </w:rPr>
            </w:r>
          </w:p>
        </w:tc>
      </w:tr>
      <w:tr>
        <w:trPr/>
        <w:tc>
          <w:tcPr>
            <w:tcW w:w="154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Cabell Lolmaugh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218,500</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(1)</w:t>
            </w:r>
          </w:p>
        </w:tc>
        <w:tc>
          <w:tcPr>
            <w:tcW w:w="136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218,500</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(3)</w:t>
            </w:r>
          </w:p>
        </w:tc>
        <w:tc>
          <w:tcPr>
            <w:tcW w:w="142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218,500</w:t>
            </w:r>
          </w:p>
        </w:tc>
        <w:tc>
          <w:tcPr>
            <w:tcW w:w="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(3)</w:t>
            </w:r>
          </w:p>
        </w:tc>
      </w:tr>
      <w:tr>
        <w:trPr/>
        <w:tc>
          <w:tcPr>
            <w:tcW w:w="15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Davis</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157,440</w:t>
            </w:r>
          </w:p>
        </w:tc>
        <w:tc>
          <w:tcPr>
            <w:tcW w:w="3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(1)</w:t>
            </w:r>
          </w:p>
        </w:tc>
        <w:tc>
          <w:tcPr>
            <w:tcW w:w="136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157,440</w:t>
            </w:r>
          </w:p>
        </w:tc>
        <w:tc>
          <w:tcPr>
            <w:tcW w:w="3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(3)</w:t>
            </w:r>
          </w:p>
        </w:tc>
        <w:tc>
          <w:tcPr>
            <w:tcW w:w="142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157,440</w:t>
            </w:r>
          </w:p>
        </w:tc>
        <w:tc>
          <w:tcPr>
            <w:tcW w:w="3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(3)</w:t>
            </w:r>
          </w:p>
        </w:tc>
      </w:tr>
      <w:tr>
        <w:trPr/>
        <w:tc>
          <w:tcPr>
            <w:tcW w:w="15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Joseph Kinder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369,131</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(2)</w:t>
            </w:r>
          </w:p>
        </w:tc>
        <w:tc>
          <w:tcPr>
            <w:tcW w:w="136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6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160"/>
        <w:ind w:left="734" w:right="0" w:hanging="360"/>
        <w:rPr>
          <w:rFonts w:ascii="Times New Roman;serif" w:hAnsi="Times New Roman;serif"/>
          <w:sz w:val="20"/>
        </w:rPr>
      </w:pPr>
      <w:r>
        <w:rPr>
          <w:rFonts w:ascii="Times New Roman;serif" w:hAnsi="Times New Roman;serif"/>
          <w:b w:val="false"/>
          <w:i w:val="false"/>
          <w:caps w:val="false"/>
          <w:smallCaps w:val="false"/>
          <w:color w:val="000000"/>
          <w:sz w:val="20"/>
        </w:rPr>
        <w:t xml:space="preserve">(1)Represents the continued payment of six-months base salary and an additional payment in an amount equal to six times our contribution for the monthly health insurance premium for them during the month immediately prior to termination. Continued payment of base salary for a six-month period would have resulted in payments of </w:t>
      </w:r>
      <w:bookmarkStart w:id="71" w:name="OLE_LINK100"/>
      <w:bookmarkEnd w:id="71"/>
      <w:r>
        <w:rPr>
          <w:rFonts w:ascii="Times New Roman;serif" w:hAnsi="Times New Roman;serif"/>
          <w:b w:val="false"/>
          <w:i w:val="false"/>
          <w:caps w:val="false"/>
          <w:smallCaps w:val="false"/>
          <w:color w:val="000000"/>
          <w:sz w:val="20"/>
        </w:rPr>
        <w:t xml:space="preserve">$218,500 and $154,500 to Mr. Lolmaugh and Mr. Davis, respectively, as of December 31, 2025. The payment equal to six months of the Company’s contribution for monthly health insurance premiums would have resulted in a payment of </w:t>
      </w:r>
      <w:bookmarkStart w:id="72" w:name="OLE_LINK101"/>
      <w:bookmarkEnd w:id="72"/>
      <w:r>
        <w:rPr>
          <w:rFonts w:ascii="Times New Roman;serif" w:hAnsi="Times New Roman;serif"/>
          <w:b w:val="false"/>
          <w:i w:val="false"/>
          <w:caps w:val="false"/>
          <w:smallCaps w:val="false"/>
          <w:color w:val="000000"/>
          <w:sz w:val="20"/>
        </w:rPr>
        <w:t>$2,940 to Mr. Davis.</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(2)Represents continued payment of six-months base salary of $175,000 and a payment equal to six months of the Company’s contribution for monthly health insurance premiums of $6,853, which Mr. Kinder is eligible to receive in the event his employment is terminated by us without severance cause or by him for good reason due to a change of control. Additionally, this amount includes the lapse of the risks of forfeiture on all outstanding shares of restricted stock, equal to $187,278, based on the closing stock price of our common stock of $3.52 on December 31, 2025, the last trading day of the 2025 fiscal year, which Mr. Kinder is eligible to receive in the event of a change of control, as described above.</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(3)Represents continued payment of six-months base salary and an additional payment in an amount equal to six times our contribution amount for the monthly health insurance premium for them during the month immediately prior to termination. Continued payment of base salary for a six-month period would have resulted in payments of $218,500 and $154,500 to Mr. Lolmaugh and Mr. Davis, respectively, as of December 31, 2025. The payment equal to six months of the Company’s contribution for monthly health insurance premiums would have resulted in a payment of $2,940 to Mr. Davis.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73" w:name="a_026"/>
      <w:bookmarkEnd w:id="73"/>
      <w:r>
        <w:rPr>
          <w:rFonts w:ascii="Times New Roman;serif" w:hAnsi="Times New Roman;serif"/>
          <w:b/>
          <w:i w:val="false"/>
          <w:caps w:val="false"/>
          <w:smallCaps w:val="false"/>
          <w:sz w:val="20"/>
        </w:rPr>
        <w:t>Pay Ratio</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required by the Dodd-Frank Wall Street Reform and Consumer Protection Act and related regulations, we are providing the following information about the relationship of the median annual total compensation of our employees and the annual total compensation of Mr. Lolmaugh, who served as our Chief Executive Officer during fiscal year 2025. The pay ratio included below is a reasonable estimate calculated in a manner consistent with the regulations.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2025, our last completed fiscal year:</w:t>
      </w:r>
    </w:p>
    <w:p>
      <w:pPr>
        <w:pStyle w:val="TextBody"/>
        <w:bidi w:val="0"/>
        <w:spacing w:lineRule="auto" w:line="252"/>
        <w:ind w:left="720" w:right="0" w:hanging="360"/>
        <w:rPr/>
      </w:pPr>
      <w:r>
        <w:rPr>
          <w:caps w:val="false"/>
          <w:smallCaps w:val="false"/>
        </w:rPr>
        <w:t></w:t>
      </w:r>
      <w:r>
        <w:rPr>
          <w:rFonts w:ascii="Times New Roman;serif" w:hAnsi="Times New Roman;serif"/>
          <w:b w:val="false"/>
          <w:i w:val="false"/>
          <w:caps w:val="false"/>
          <w:smallCaps w:val="false"/>
          <w:color w:val="000000"/>
          <w:sz w:val="20"/>
        </w:rPr>
        <w:t>the median of the annual total compensation of all our employees (other than Mr. Lolmaugh) was $52,327; and</w:t>
      </w:r>
    </w:p>
    <w:p>
      <w:pPr>
        <w:pStyle w:val="TextBody"/>
        <w:bidi w:val="0"/>
        <w:spacing w:lineRule="auto" w:line="252"/>
        <w:ind w:left="720" w:right="0" w:hanging="360"/>
        <w:rPr/>
      </w:pPr>
      <w:r>
        <w:rPr>
          <w:caps w:val="false"/>
          <w:smallCaps w:val="false"/>
        </w:rPr>
        <w:t></w:t>
      </w:r>
      <w:r>
        <w:rPr>
          <w:rFonts w:ascii="Times New Roman;serif" w:hAnsi="Times New Roman;serif"/>
          <w:b w:val="false"/>
          <w:i w:val="false"/>
          <w:caps w:val="false"/>
          <w:smallCaps w:val="false"/>
          <w:color w:val="000000"/>
          <w:sz w:val="20"/>
        </w:rPr>
        <w:t>the annual total compensation of Mr. Lolmaugh, as reported in the above Summary Compensation Table, was $738,708.</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Based on this information, for fiscal year 2025, the ratio of the annual total compensation of our Chief Executive Officer to the median of the annual total compensation of all employees was 14.12</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sz w:val="20"/>
        </w:rPr>
        <w:t>to 1.</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identify the median of the annual total compensation of all our employees, as well as to determine the annual total compensation of our median employee and our Chief Executive Officer, we did the following:</w:t>
      </w:r>
    </w:p>
    <w:p>
      <w:pPr>
        <w:pStyle w:val="TextBody"/>
        <w:bidi w:val="0"/>
        <w:spacing w:lineRule="auto" w:line="259"/>
        <w:rPr>
          <w:caps w:val="false"/>
          <w:smallCaps w:val="false"/>
        </w:rPr>
      </w:pPr>
      <w:r>
        <w:rPr>
          <w:caps w:val="false"/>
          <w:smallCaps w:val="false"/>
        </w:rPr>
        <w:t> </w:t>
      </w:r>
    </w:p>
    <w:p>
      <w:pPr>
        <w:pStyle w:val="TextBody"/>
        <w:bidi w:val="0"/>
        <w:spacing w:lineRule="auto" w:line="259"/>
        <w:ind w:left="720" w:right="0" w:hanging="0"/>
        <w:rPr>
          <w:rFonts w:ascii="Times New Roman;serif" w:hAnsi="Times New Roman;serif"/>
          <w:sz w:val="20"/>
        </w:rPr>
      </w:pPr>
      <w:r>
        <w:rPr>
          <w:rFonts w:ascii="Times New Roman;serif" w:hAnsi="Times New Roman;serif"/>
          <w:b/>
          <w:i w:val="false"/>
          <w:caps w:val="false"/>
          <w:smallCaps w:val="false"/>
          <w:sz w:val="20"/>
        </w:rPr>
        <w:t xml:space="preserve">Employee Count. </w:t>
      </w:r>
      <w:r>
        <w:rPr>
          <w:rFonts w:ascii="Times New Roman;serif" w:hAnsi="Times New Roman;serif"/>
          <w:b w:val="false"/>
          <w:i w:val="false"/>
          <w:caps w:val="false"/>
          <w:smallCaps w:val="false"/>
          <w:sz w:val="20"/>
        </w:rPr>
        <w:t>As permitted under Item 402(u) of Regulation S-K, for 2025, we started with the same median employee who was originally identified as our median employee for 2024, because we determined that there has been no change in our employee population or employee compensation arrangements that we believe would significantly impact our pay ratio disclosure. Accordingly, our median employee was identified as of December 15, 2024, on which date our employee population consisted of approximately 1,296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sz w:val="20"/>
        </w:rPr>
        <w:t xml:space="preserve">individuals, all located in the United States.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ind w:left="720" w:right="0" w:hanging="0"/>
        <w:rPr>
          <w:rFonts w:ascii="Times New Roman;serif" w:hAnsi="Times New Roman;serif"/>
          <w:sz w:val="20"/>
        </w:rPr>
      </w:pPr>
      <w:r>
        <w:rPr>
          <w:rFonts w:ascii="Times New Roman;serif" w:hAnsi="Times New Roman;serif"/>
          <w:b/>
          <w:i w:val="false"/>
          <w:caps w:val="false"/>
          <w:smallCaps w:val="false"/>
          <w:sz w:val="20"/>
        </w:rPr>
        <w:t xml:space="preserve">Median Employee. </w:t>
      </w:r>
      <w:r>
        <w:rPr>
          <w:rFonts w:ascii="Times New Roman;serif" w:hAnsi="Times New Roman;serif"/>
          <w:b w:val="false"/>
          <w:i w:val="false"/>
          <w:caps w:val="false"/>
          <w:smallCaps w:val="false"/>
          <w:sz w:val="20"/>
        </w:rPr>
        <w:t>To identify the median employee from our employee population, we compared the amount of salary, wages, tips and overtime pay of our employees as reflected in our payroll records as reported to the Internal Revenue Service on Form W-2 for 2024 (less severance and settlement earnings). In making this determination, we annualized the compensation of any full-time employees who were hired in 2024 and were working for us on December 15, 2024, but did not work for us the entire fiscal year. We identified our median employee using this compensation measure, which was consistently applied to all our employees included in the calculation. Since all our included employees are located in the United States, as is our Chief Executive Officer, we did not make any cost-of-living adjustments in identifying the median employee.</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Upon further review, we noted that the 2025 compensation of the originally identified median employee reflected a change in that employee’s circumstances that could significantly impact the pay ratio calculation. As a result, we selected as our median employee for 2025 an employee whose 2024 compensation was substantially similar to the originally identified median employee. We calculated the 2025 annual total compensation of that median employee in the same manner as described below.</w:t>
      </w:r>
    </w:p>
    <w:p>
      <w:pPr>
        <w:pStyle w:val="TextBody"/>
        <w:bidi w:val="0"/>
        <w:spacing w:lineRule="auto" w:line="259"/>
        <w:ind w:left="720" w:right="0" w:hanging="0"/>
        <w:rPr>
          <w:rFonts w:ascii="Times New Roman;serif" w:hAnsi="Times New Roman;serif"/>
          <w:sz w:val="20"/>
        </w:rPr>
      </w:pPr>
      <w:r>
        <w:rPr>
          <w:rFonts w:ascii="Times New Roman;serif" w:hAnsi="Times New Roman;serif"/>
          <w:b/>
          <w:i w:val="false"/>
          <w:caps w:val="false"/>
          <w:smallCaps w:val="false"/>
          <w:sz w:val="20"/>
        </w:rPr>
        <w:t xml:space="preserve">Median Employee Total Compensation. </w:t>
      </w:r>
      <w:r>
        <w:rPr>
          <w:rFonts w:ascii="Times New Roman;serif" w:hAnsi="Times New Roman;serif"/>
          <w:b w:val="false"/>
          <w:i w:val="false"/>
          <w:caps w:val="false"/>
          <w:smallCaps w:val="false"/>
          <w:sz w:val="20"/>
        </w:rPr>
        <w:t>Having identified our median employee, we combined all the elements of such employee’s compensation for 2025 in accordance with the requirements of Item 402(c)(2)(x) of Regulation S-K, resulting in annual total compensation of $52,327. The difference between such employee’s salary, wages, tips and overtime pay and the employee’s annual total compensation represents the value of our matching contributions to participants in The Tile Shop 401(k) Retirement Plan (estimated at $1,275).</w:t>
      </w:r>
    </w:p>
    <w:p>
      <w:pPr>
        <w:pStyle w:val="TextBody"/>
        <w:bidi w:val="0"/>
        <w:spacing w:lineRule="auto" w:line="259"/>
        <w:rPr>
          <w:caps w:val="false"/>
          <w:smallCaps w:val="false"/>
        </w:rPr>
      </w:pPr>
      <w:r>
        <w:rPr>
          <w:caps w:val="false"/>
          <w:smallCaps w:val="false"/>
        </w:rPr>
        <w:t> </w:t>
      </w:r>
    </w:p>
    <w:p>
      <w:pPr>
        <w:pStyle w:val="TextBody"/>
        <w:bidi w:val="0"/>
        <w:spacing w:lineRule="auto" w:line="259"/>
        <w:ind w:left="720" w:right="0" w:hanging="0"/>
        <w:rPr>
          <w:rFonts w:ascii="Times New Roman;serif" w:hAnsi="Times New Roman;serif"/>
          <w:sz w:val="20"/>
        </w:rPr>
      </w:pPr>
      <w:r>
        <w:rPr>
          <w:rFonts w:ascii="Times New Roman;serif" w:hAnsi="Times New Roman;serif"/>
          <w:b/>
          <w:i w:val="false"/>
          <w:caps w:val="false"/>
          <w:smallCaps w:val="false"/>
          <w:sz w:val="20"/>
        </w:rPr>
        <w:t xml:space="preserve">Chief Executive Officer Total Compensation. </w:t>
      </w:r>
      <w:r>
        <w:rPr>
          <w:rFonts w:ascii="Times New Roman;serif" w:hAnsi="Times New Roman;serif"/>
          <w:b w:val="false"/>
          <w:i w:val="false"/>
          <w:caps w:val="false"/>
          <w:smallCaps w:val="false"/>
          <w:sz w:val="20"/>
        </w:rPr>
        <w:t>Mr. Lolmaugh had annual total compensation of $</w:t>
      </w:r>
      <w:r>
        <w:rPr>
          <w:rFonts w:ascii="Times New Roman;serif" w:hAnsi="Times New Roman;serif"/>
          <w:b w:val="false"/>
          <w:i w:val="false"/>
          <w:caps w:val="false"/>
          <w:smallCaps w:val="false"/>
          <w:color w:val="000000"/>
          <w:sz w:val="20"/>
        </w:rPr>
        <w:t xml:space="preserve">738,708 </w:t>
      </w:r>
      <w:r>
        <w:rPr>
          <w:rFonts w:ascii="Times New Roman;serif" w:hAnsi="Times New Roman;serif"/>
          <w:b w:val="false"/>
          <w:i w:val="false"/>
          <w:caps w:val="false"/>
          <w:smallCaps w:val="false"/>
          <w:sz w:val="20"/>
        </w:rPr>
        <w:t>as disclosed in the Summary Compensation Table.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Director Compensation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Each of our non-employee directors receives an annual fee of $100,000. The chairperson of our Board receives an additional annual fee of $75,000, the chairperson of the Audit Committee receives an additional annual fee of $40,000, and the chairperson of each of the Compensation Committee and Governance Committee receives an additional annual fee of $15,000. Beginning in the second quarter of 2025 and ending in the fourth quarter of 2025, the members of the Independent Transaction Committee received a cash retainer of $10,000 per quarter. Cash compensation is payable quarterly. Non-employee directors may elect to have 50% or 100% of their annual compensation paid in the form of restricted stock. The number of shares of our restricted stock granted is equal to the quotient obtained by dividing (i) the amount of the annual fee payable to the non-employee director in the form of restricted stock by (ii) the average closing price on Nasdaq of our common stock over the 30 trading days immediately preceding the date of grant. The annual period for director compensation runs based on the date of the Annual Meeting of Stockholders each year.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Messrs. Faw and Lennon were appointed as directors on January 7, 2026 and will receive $50,000 in cash for their service on the Board between the date of their appointment and the 2026 Annual Meeting of Stockholders.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June 2024, Messrs. Kamin and Jacullo and Mss. Glasser and Solheid elected to receive compensation fully in the form of restricted stock, and Mr. Bonney elected to receive compensation as one-half restricted stock and one-half cash compensation, payable quarterly. Messrs. Kamin, Bonney, and Jacullo and Mss. Glasser and Solheid received 28,752, 10,593, 15,133, 17,403, and 15,133 shares of restricted stock, respectively. The risk of forfeiture for the restricted stock lapsed on June 3,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June 2025, Messrs. Kamin and Jacullo and Ms. Glasser elected to receive compensation fully in the form of restricted stock, and Mr. Bonney and Ms. Solheid elected to receive compensation as one-half restricted stock and one-half cash compensation, payable quarterly. Messrs. Kamin, Bonney, and Jacullo and Mss. Glasser and Solheid received 32,063, 11,813, 16,875, 19,407, and 8,438 shares of restricted stock, respectively. The risk of forfeiture for the restricted stock will lapse on the earlier of the date of the 2026 Annual Meeting of Stockholders or June 3, 2026, contingent upon the applicable non-employee director’s continued service on our Board.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January 2026, in connection with Ms. Solheid’s resignation, the vesting of Ms. Solheid’s unvested restricted stock was accelerated and she received a cash payment of $12,500, consisting of the portion of her annual Board fee that was payable in cash in March 2026.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Director Compensation Table for Fiscal 2025</w:t>
      </w:r>
    </w:p>
    <w:p>
      <w:pPr>
        <w:pStyle w:val="TextBody"/>
        <w:bidi w:val="0"/>
        <w:spacing w:lineRule="auto" w:line="259"/>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summarizes the compensation paid to each non-employee director who served during the fiscal year ended December 31, 2025. Mr. Lolmaugh does not receive any separate compensation for his service as a director. </w:t>
      </w:r>
    </w:p>
    <w:tbl>
      <w:tblPr>
        <w:tblW w:w="7440" w:type="dxa"/>
        <w:jc w:val="left"/>
        <w:tblInd w:w="0" w:type="dxa"/>
        <w:tblLayout w:type="fixed"/>
        <w:tblCellMar>
          <w:top w:w="0" w:type="dxa"/>
          <w:left w:w="0" w:type="dxa"/>
          <w:bottom w:w="0" w:type="dxa"/>
          <w:right w:w="0" w:type="dxa"/>
        </w:tblCellMar>
      </w:tblPr>
      <w:tblGrid>
        <w:gridCol w:w="1666"/>
        <w:gridCol w:w="109"/>
        <w:gridCol w:w="991"/>
        <w:gridCol w:w="316"/>
        <w:gridCol w:w="1111"/>
        <w:gridCol w:w="109"/>
        <w:gridCol w:w="2131"/>
        <w:gridCol w:w="109"/>
        <w:gridCol w:w="898"/>
      </w:tblGrid>
      <w:tr>
        <w:trPr/>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166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Name</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Fees Earned</w:t>
              <w:br/>
              <w:t>‎or Paid in</w:t>
              <w:br/>
              <w:t>‎Cash ($)</w:t>
            </w:r>
          </w:p>
        </w:tc>
        <w:tc>
          <w:tcPr>
            <w:tcW w:w="316" w:type="dxa"/>
            <w:tcBorders/>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Stock Awards</w:t>
              <w:br/>
              <w:t>‎($)</w:t>
            </w:r>
            <w:r>
              <w:rPr>
                <w:rFonts w:ascii="Times New Roman;serif" w:hAnsi="Times New Roman;serif"/>
                <w:caps w:val="false"/>
                <w:smallCaps w:val="false"/>
                <w:position w:val="5"/>
                <w:sz w:val="13"/>
                <w:sz w:val="16"/>
              </w:rPr>
              <w:t> </w:t>
            </w:r>
            <w:r>
              <w:rPr>
                <w:rFonts w:ascii="Times New Roman;serif" w:hAnsi="Times New Roman;serif"/>
                <w:b/>
                <w:i w:val="false"/>
                <w:caps w:val="false"/>
                <w:smallCaps w:val="false"/>
                <w:position w:val="5"/>
                <w:sz w:val="13"/>
                <w:sz w:val="16"/>
              </w:rPr>
              <w:t>(1)(2)</w:t>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All Other Compensation ($)</w:t>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w:t>
            </w:r>
          </w:p>
        </w:tc>
      </w:tr>
      <w:tr>
        <w:trPr/>
        <w:tc>
          <w:tcPr>
            <w:tcW w:w="166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Peter H. Kamin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208,410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208,410</w:t>
            </w:r>
          </w:p>
        </w:tc>
      </w:tr>
      <w:tr>
        <w:trPr/>
        <w:tc>
          <w:tcPr>
            <w:tcW w:w="16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J. Bonney</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100,000</w:t>
            </w:r>
          </w:p>
        </w:tc>
        <w:tc>
          <w:tcPr>
            <w:tcW w:w="31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(3)</w:t>
            </w:r>
          </w:p>
        </w:tc>
        <w:tc>
          <w:tcPr>
            <w:tcW w:w="111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76,785</w:t>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176,785</w:t>
            </w:r>
          </w:p>
        </w:tc>
      </w:tr>
      <w:tr>
        <w:trPr/>
        <w:tc>
          <w:tcPr>
            <w:tcW w:w="16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Deborah K. Glasser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126,146</w:t>
            </w:r>
          </w:p>
        </w:tc>
      </w:tr>
      <w:tr>
        <w:trPr/>
        <w:tc>
          <w:tcPr>
            <w:tcW w:w="16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Peter J. Jacullo III</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1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109,688</w:t>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109,688</w:t>
            </w:r>
          </w:p>
        </w:tc>
      </w:tr>
      <w:tr>
        <w:trPr/>
        <w:tc>
          <w:tcPr>
            <w:tcW w:w="16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Linda Solheid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67,500</w:t>
            </w:r>
          </w:p>
        </w:tc>
        <w:tc>
          <w:tcPr>
            <w:tcW w:w="3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(4)</w:t>
            </w:r>
          </w:p>
        </w:tc>
        <w:tc>
          <w:tcPr>
            <w:tcW w:w="111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54,847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122,347</w:t>
            </w:r>
          </w:p>
        </w:tc>
      </w:tr>
    </w:tbl>
    <w:p>
      <w:pPr>
        <w:pStyle w:val="TextBody"/>
        <w:bidi w:val="0"/>
        <w:spacing w:lineRule="auto" w:line="252" w:before="0" w:after="160"/>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(1)The table reflects the grant date fair value, as computed in accordance with Topic 718, of the director restricted share awards granted in fiscal year 2025. The assumptions used to determine the valuation of the awards are discussed in Note 9 to our consolidated financial statements, included in this Annual Report on Form 10-K.</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(2)The aggregate number of shares of restricted stock held by each of the directors listed in the table above as of December 31, 2025 was as follows: Mr. Kamin, 32,063; Mr. Bonney, 11,813; Ms. Glasser, 19,407; Mr. Jacullo, 16,875; and Ms. Solheid, 8,438. These shares of restricted stock were granted on June 3, 2025. The risks of forfeiture for these restricted shares will generally lapse in full on the earlier of the date of the 2026 Annual Meeting of Stockholders or June 3, 2026, contingent upon the applicable non-employee director’s continued service on our Board.</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(3)Includes $70,000 of the annual Board fees received in cash and an additional $30,000 pursuant to the quarterly cash retainer earned by members of the Independent Transaction Committee during 2025.</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(4)Includes $37,500 of the annual Board fees received in cash and an additional $30,000 pursuant to the quarterly cash retainer earned by members of the Independent Transaction Committee during 2025.</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Standstill Agreements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January 10, 2020, our then-serving directors delivered director standstill commitments (as to purchases of shares of our common stock) to us, as described in our Current Report on Form 8-K filed with the SEC on January 13, 2020, which extended until the later of (i) two years and (ii) the date upon which the director’s service as a member of the Board ends. Messrs. Jacullo and Kamin agreed to extend their standstill commitments until the date upon which each director’s service on the Board ends (which is the later of June 1, 2023 and such date), pursuant to the Stipulation.</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ITEM 12. SECUR</w:t>
      </w:r>
      <w:bookmarkStart w:id="74" w:name="Item_12_SecurityOwnershipOfCertain"/>
      <w:bookmarkEnd w:id="74"/>
      <w:r>
        <w:rPr>
          <w:rFonts w:ascii="Times New Roman;serif" w:hAnsi="Times New Roman;serif"/>
          <w:b/>
          <w:i w:val="false"/>
          <w:caps w:val="false"/>
          <w:smallCaps w:val="false"/>
          <w:color w:val="000000"/>
          <w:sz w:val="20"/>
        </w:rPr>
        <w:t>ITY OWNERSHIP OF CERTAIN BENEFICIAL OWNERS AND MANAGEMENT AND RELATED STOCKHOLDER MATTERS</w:t>
      </w:r>
    </w:p>
    <w:p>
      <w:pPr>
        <w:pStyle w:val="TextBody"/>
        <w:bidi w:val="0"/>
        <w:spacing w:lineRule="auto" w:line="259"/>
        <w:rPr>
          <w:rFonts w:ascii="Times New Roman;serif" w:hAnsi="Times New Roman;serif"/>
          <w:b/>
          <w:i w:val="false"/>
          <w:caps w:val="false"/>
          <w:smallCaps w:val="false"/>
          <w:color w:val="000000"/>
          <w:sz w:val="20"/>
        </w:rPr>
      </w:pPr>
      <w:bookmarkStart w:id="75" w:name="_Hlk125975835"/>
      <w:bookmarkEnd w:id="75"/>
      <w:r>
        <w:rPr>
          <w:rFonts w:ascii="Times New Roman;serif" w:hAnsi="Times New Roman;serif"/>
          <w:b/>
          <w:i w:val="false"/>
          <w:caps w:val="false"/>
          <w:smallCaps w:val="false"/>
          <w:color w:val="000000"/>
          <w:sz w:val="20"/>
        </w:rPr>
        <w:t>Equity Compensation Plan Information</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table presents our equity compensation plan information as of December 31, 2025:</w:t>
      </w:r>
    </w:p>
    <w:tbl>
      <w:tblPr>
        <w:tblW w:w="10205" w:type="dxa"/>
        <w:jc w:val="left"/>
        <w:tblInd w:w="0" w:type="dxa"/>
        <w:tblLayout w:type="fixed"/>
        <w:tblCellMar>
          <w:top w:w="0" w:type="dxa"/>
          <w:left w:w="0" w:type="dxa"/>
          <w:bottom w:w="0" w:type="dxa"/>
          <w:right w:w="0" w:type="dxa"/>
        </w:tblCellMar>
      </w:tblPr>
      <w:tblGrid>
        <w:gridCol w:w="2539"/>
        <w:gridCol w:w="109"/>
        <w:gridCol w:w="2086"/>
        <w:gridCol w:w="276"/>
        <w:gridCol w:w="1660"/>
        <w:gridCol w:w="109"/>
        <w:gridCol w:w="3102"/>
        <w:gridCol w:w="324"/>
      </w:tblGrid>
      <w:tr>
        <w:trPr/>
        <w:tc>
          <w:tcPr>
            <w:tcW w:w="2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w:t>
            </w:r>
          </w:p>
        </w:tc>
        <w:tc>
          <w:tcPr>
            <w:tcW w:w="27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w:t>
            </w:r>
          </w:p>
        </w:tc>
        <w:tc>
          <w:tcPr>
            <w:tcW w:w="109"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w:t>
            </w:r>
          </w:p>
        </w:tc>
        <w:tc>
          <w:tcPr>
            <w:tcW w:w="324" w:type="dxa"/>
            <w:tcBorders/>
            <w:vAlign w:val="center"/>
          </w:tcPr>
          <w:p>
            <w:pPr>
              <w:pStyle w:val="TableContents"/>
              <w:bidi w:val="0"/>
              <w:spacing w:before="0" w:after="283"/>
              <w:jc w:val="left"/>
              <w:rPr>
                <w:sz w:val="4"/>
                <w:szCs w:val="4"/>
              </w:rPr>
            </w:pPr>
            <w:r>
              <w:rPr>
                <w:sz w:val="4"/>
                <w:szCs w:val="4"/>
              </w:rPr>
            </w:r>
          </w:p>
        </w:tc>
      </w:tr>
      <w:tr>
        <w:trPr/>
        <w:tc>
          <w:tcPr>
            <w:tcW w:w="2539"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Plan Category</w:t>
            </w:r>
          </w:p>
        </w:tc>
        <w:tc>
          <w:tcPr>
            <w:tcW w:w="109" w:type="dxa"/>
            <w:tcBorders/>
            <w:vAlign w:val="center"/>
          </w:tcPr>
          <w:p>
            <w:pPr>
              <w:pStyle w:val="TableContents"/>
              <w:bidi w:val="0"/>
              <w:spacing w:before="0" w:after="283"/>
              <w:jc w:val="left"/>
              <w:rPr>
                <w:sz w:val="4"/>
                <w:szCs w:val="4"/>
              </w:rPr>
            </w:pPr>
            <w:r>
              <w:rPr>
                <w:sz w:val="4"/>
                <w:szCs w:val="4"/>
              </w:rPr>
            </w:r>
          </w:p>
        </w:tc>
        <w:tc>
          <w:tcPr>
            <w:tcW w:w="2086" w:type="dxa"/>
            <w:tcBorders>
              <w:bottom w:val="single" w:sz="8" w:space="0" w:color="000000"/>
            </w:tcBorders>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 securities</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 be issued upon</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exercise of </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outstanding options, warrants and rights</w:t>
            </w:r>
          </w:p>
        </w:tc>
        <w:tc>
          <w:tcPr>
            <w:tcW w:w="276" w:type="dxa"/>
            <w:tcBorders/>
            <w:vAlign w:val="center"/>
          </w:tcPr>
          <w:p>
            <w:pPr>
              <w:pStyle w:val="TableContents"/>
              <w:bidi w:val="0"/>
              <w:spacing w:before="0" w:after="283"/>
              <w:jc w:val="left"/>
              <w:rPr>
                <w:sz w:val="4"/>
                <w:szCs w:val="4"/>
              </w:rPr>
            </w:pPr>
            <w:r>
              <w:rPr>
                <w:sz w:val="4"/>
                <w:szCs w:val="4"/>
              </w:rPr>
            </w:r>
          </w:p>
        </w:tc>
        <w:tc>
          <w:tcPr>
            <w:tcW w:w="1660"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 average</w:t>
              <w:br/>
              <w:t>‎exercise price of</w:t>
              <w:br/>
              <w:t>‎outstanding</w:t>
              <w:br/>
              <w:t>‎options, warrants and rights ($)</w:t>
            </w:r>
          </w:p>
        </w:tc>
        <w:tc>
          <w:tcPr>
            <w:tcW w:w="109" w:type="dxa"/>
            <w:tcBorders/>
            <w:vAlign w:val="center"/>
          </w:tcPr>
          <w:p>
            <w:pPr>
              <w:pStyle w:val="TableContents"/>
              <w:bidi w:val="0"/>
              <w:spacing w:before="0" w:after="283"/>
              <w:jc w:val="left"/>
              <w:rPr>
                <w:sz w:val="4"/>
                <w:szCs w:val="4"/>
              </w:rPr>
            </w:pPr>
            <w:r>
              <w:rPr>
                <w:sz w:val="4"/>
                <w:szCs w:val="4"/>
              </w:rPr>
            </w:r>
          </w:p>
        </w:tc>
        <w:tc>
          <w:tcPr>
            <w:tcW w:w="3102"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 securities</w:t>
              <w:br/>
              <w:t>‎remaining available for</w:t>
              <w:br/>
              <w:t>‎future issuance under</w:t>
              <w:br/>
              <w:t>‎equity compensation plans (excluding securities reflected in column (a))</w:t>
            </w:r>
          </w:p>
        </w:tc>
        <w:tc>
          <w:tcPr>
            <w:tcW w:w="324" w:type="dxa"/>
            <w:tcBorders/>
            <w:vAlign w:val="center"/>
          </w:tcPr>
          <w:p>
            <w:pPr>
              <w:pStyle w:val="TableContents"/>
              <w:bidi w:val="0"/>
              <w:spacing w:before="0" w:after="283"/>
              <w:jc w:val="left"/>
              <w:rPr>
                <w:sz w:val="4"/>
                <w:szCs w:val="4"/>
              </w:rPr>
            </w:pPr>
            <w:r>
              <w:rPr>
                <w:sz w:val="4"/>
                <w:szCs w:val="4"/>
              </w:rPr>
            </w:r>
          </w:p>
        </w:tc>
      </w:tr>
      <w:tr>
        <w:trPr/>
        <w:tc>
          <w:tcPr>
            <w:tcW w:w="253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Equity compensation plans approved by security holders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295,367</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(1)</w:t>
            </w:r>
          </w:p>
        </w:tc>
        <w:tc>
          <w:tcPr>
            <w:tcW w:w="166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02"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2,328,723</w:t>
            </w:r>
          </w:p>
        </w:tc>
        <w:tc>
          <w:tcPr>
            <w:tcW w:w="32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position w:val="7"/>
                <w:sz w:val="16"/>
                <w:sz w:val="20"/>
              </w:rPr>
            </w:pPr>
            <w:r>
              <w:rPr>
                <w:rFonts w:ascii="Times New Roman;serif" w:hAnsi="Times New Roman;serif"/>
                <w:b w:val="false"/>
                <w:i w:val="false"/>
                <w:caps w:val="false"/>
                <w:smallCaps w:val="false"/>
                <w:position w:val="7"/>
                <w:sz w:val="16"/>
                <w:sz w:val="20"/>
              </w:rPr>
              <w:t>(2)</w:t>
            </w:r>
          </w:p>
        </w:tc>
      </w:tr>
      <w:tr>
        <w:trPr/>
        <w:tc>
          <w:tcPr>
            <w:tcW w:w="253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Equity compensation plans not approved by security holders</w:t>
            </w:r>
          </w:p>
        </w:tc>
        <w:tc>
          <w:tcPr>
            <w:tcW w:w="109" w:type="dxa"/>
            <w:tcBorders/>
            <w:vAlign w:val="center"/>
          </w:tcPr>
          <w:p>
            <w:pPr>
              <w:pStyle w:val="TableContents"/>
              <w:bidi w:val="0"/>
              <w:spacing w:before="0" w:after="283"/>
              <w:jc w:val="left"/>
              <w:rPr>
                <w:sz w:val="4"/>
                <w:szCs w:val="4"/>
              </w:rPr>
            </w:pPr>
            <w:r>
              <w:rPr>
                <w:sz w:val="4"/>
                <w:szCs w:val="4"/>
              </w:rPr>
            </w:r>
          </w:p>
        </w:tc>
        <w:tc>
          <w:tcPr>
            <w:tcW w:w="2086"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76" w:type="dxa"/>
            <w:tcBorders/>
            <w:vAlign w:val="center"/>
          </w:tcPr>
          <w:p>
            <w:pPr>
              <w:pStyle w:val="TableContents"/>
              <w:bidi w:val="0"/>
              <w:spacing w:before="0" w:after="283"/>
              <w:jc w:val="left"/>
              <w:rPr>
                <w:sz w:val="4"/>
                <w:szCs w:val="4"/>
              </w:rPr>
            </w:pPr>
            <w:r>
              <w:rPr>
                <w:sz w:val="4"/>
                <w:szCs w:val="4"/>
              </w:rPr>
            </w:r>
          </w:p>
        </w:tc>
        <w:tc>
          <w:tcPr>
            <w:tcW w:w="1660"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102"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24" w:type="dxa"/>
            <w:tcBorders/>
            <w:vAlign w:val="center"/>
          </w:tcPr>
          <w:p>
            <w:pPr>
              <w:pStyle w:val="TableContents"/>
              <w:bidi w:val="0"/>
              <w:spacing w:before="0" w:after="283"/>
              <w:jc w:val="left"/>
              <w:rPr>
                <w:sz w:val="4"/>
                <w:szCs w:val="4"/>
              </w:rPr>
            </w:pPr>
            <w:r>
              <w:rPr>
                <w:sz w:val="4"/>
                <w:szCs w:val="4"/>
              </w:rPr>
            </w:r>
          </w:p>
        </w:tc>
      </w:tr>
      <w:tr>
        <w:trPr/>
        <w:tc>
          <w:tcPr>
            <w:tcW w:w="253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295,367</w:t>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66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02"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2,328,723</w:t>
            </w:r>
          </w:p>
        </w:tc>
        <w:tc>
          <w:tcPr>
            <w:tcW w:w="324"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160"/>
        <w:ind w:left="1080" w:right="0" w:hanging="72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(1)Represents shares of common stock to be issued upon exercise of outstanding options to purchase common stock granted pursuant to the Omnibus Plans as of December 31, 2025.</w:t>
      </w:r>
    </w:p>
    <w:p>
      <w:pPr>
        <w:pStyle w:val="TextBody"/>
        <w:bidi w:val="0"/>
        <w:spacing w:lineRule="auto" w:line="252"/>
        <w:ind w:left="1080" w:right="0" w:hanging="72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(2)All shares available for future issuance are under the 2021 Omnibus Plan.</w:t>
      </w:r>
    </w:p>
    <w:p>
      <w:pPr>
        <w:pStyle w:val="TextBody"/>
        <w:bidi w:val="0"/>
        <w:spacing w:lineRule="auto" w:line="259"/>
        <w:ind w:left="720" w:right="0" w:hanging="72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Security Ownership of Certain Beneficial Owners and Management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as of February 23, 2026, information regarding beneficial ownership of our common stock by:</w:t>
      </w:r>
    </w:p>
    <w:p>
      <w:pPr>
        <w:pStyle w:val="TextBody"/>
        <w:bidi w:val="0"/>
        <w:spacing w:lineRule="auto" w:line="259"/>
        <w:rPr>
          <w:caps w:val="false"/>
          <w:smallCaps w:val="false"/>
        </w:rPr>
      </w:pPr>
      <w:r>
        <w:rPr>
          <w:caps w:val="false"/>
          <w:smallCaps w:val="false"/>
        </w:rPr>
        <w:t> </w:t>
      </w:r>
    </w:p>
    <w:p>
      <w:pPr>
        <w:pStyle w:val="TextBody"/>
        <w:bidi w:val="0"/>
        <w:spacing w:lineRule="auto" w:line="252"/>
        <w:ind w:left="734" w:right="0" w:hanging="360"/>
        <w:rPr/>
      </w:pPr>
      <w:r>
        <w:rPr>
          <w:caps w:val="false"/>
          <w:smallCaps w:val="false"/>
          <w:color w:val="000000"/>
        </w:rPr>
        <w:t></w:t>
      </w:r>
      <w:r>
        <w:rPr>
          <w:rFonts w:ascii="Times New Roman;serif" w:hAnsi="Times New Roman;serif"/>
          <w:b w:val="false"/>
          <w:i w:val="false"/>
          <w:caps w:val="false"/>
          <w:smallCaps w:val="false"/>
          <w:color w:val="000000"/>
          <w:sz w:val="20"/>
        </w:rPr>
        <w:t>each person, or group of affiliated persons, known by us to beneficially own more than 5% of our common stock;</w:t>
      </w:r>
    </w:p>
    <w:p>
      <w:pPr>
        <w:pStyle w:val="TextBody"/>
        <w:bidi w:val="0"/>
        <w:spacing w:lineRule="auto" w:line="252"/>
        <w:ind w:left="734" w:right="0" w:hanging="360"/>
        <w:rPr/>
      </w:pPr>
      <w:r>
        <w:rPr>
          <w:caps w:val="false"/>
          <w:smallCaps w:val="false"/>
          <w:color w:val="000000"/>
        </w:rPr>
        <w:t></w:t>
      </w:r>
      <w:r>
        <w:rPr>
          <w:rFonts w:ascii="Times New Roman;serif" w:hAnsi="Times New Roman;serif"/>
          <w:b w:val="false"/>
          <w:i w:val="false"/>
          <w:caps w:val="false"/>
          <w:smallCaps w:val="false"/>
          <w:color w:val="000000"/>
          <w:sz w:val="20"/>
        </w:rPr>
        <w:t>each of our named executive officers;</w:t>
      </w:r>
    </w:p>
    <w:p>
      <w:pPr>
        <w:pStyle w:val="TextBody"/>
        <w:bidi w:val="0"/>
        <w:spacing w:lineRule="auto" w:line="252"/>
        <w:ind w:left="734" w:right="0" w:hanging="360"/>
        <w:rPr/>
      </w:pPr>
      <w:r>
        <w:rPr>
          <w:caps w:val="false"/>
          <w:smallCaps w:val="false"/>
          <w:color w:val="000000"/>
        </w:rPr>
        <w:t></w:t>
      </w:r>
      <w:r>
        <w:rPr>
          <w:rFonts w:ascii="Times New Roman;serif" w:hAnsi="Times New Roman;serif"/>
          <w:b w:val="false"/>
          <w:i w:val="false"/>
          <w:caps w:val="false"/>
          <w:smallCaps w:val="false"/>
          <w:color w:val="000000"/>
          <w:sz w:val="20"/>
        </w:rPr>
        <w:t>each of our directors; and</w:t>
      </w:r>
    </w:p>
    <w:p>
      <w:pPr>
        <w:pStyle w:val="TextBody"/>
        <w:bidi w:val="0"/>
        <w:spacing w:lineRule="auto" w:line="252"/>
        <w:ind w:left="734" w:right="0" w:hanging="360"/>
        <w:rPr/>
      </w:pPr>
      <w:r>
        <w:rPr>
          <w:caps w:val="false"/>
          <w:smallCaps w:val="false"/>
          <w:color w:val="000000"/>
        </w:rPr>
        <w:t></w:t>
      </w:r>
      <w:r>
        <w:rPr>
          <w:rFonts w:ascii="Times New Roman;serif" w:hAnsi="Times New Roman;serif"/>
          <w:b w:val="false"/>
          <w:i w:val="false"/>
          <w:caps w:val="false"/>
          <w:smallCaps w:val="false"/>
          <w:color w:val="000000"/>
          <w:sz w:val="20"/>
        </w:rPr>
        <w:t>all our current executive officers and directors as a group.</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February 23, 2026.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Shares of our common stock that are subject to options currently exercisable or exercisable within 60 days of February 23, 2026 are deemed to be outstanding for computing the percentage ownership of the person holding these options and the percentage ownership of any group in which the holder is a member, but are not deemed outstanding for computing the percentage of any other person.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based our calculation of the percentage of beneficial ownership on 39,821,741 shares of our common stock outstanding on February 23,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Unless otherwise noted below, the address for each of the stockholders in the table below is c/o Tile Shop Holdings, Inc., 14000 Carlson Parkway, Plymouth, Minnesota 55441.</w:t>
      </w:r>
    </w:p>
    <w:tbl>
      <w:tblPr>
        <w:tblW w:w="10205" w:type="dxa"/>
        <w:jc w:val="left"/>
        <w:tblInd w:w="0" w:type="dxa"/>
        <w:tblLayout w:type="fixed"/>
        <w:tblCellMar>
          <w:top w:w="0" w:type="dxa"/>
          <w:left w:w="0" w:type="dxa"/>
          <w:bottom w:w="0" w:type="dxa"/>
          <w:right w:w="0" w:type="dxa"/>
        </w:tblCellMar>
      </w:tblPr>
      <w:tblGrid>
        <w:gridCol w:w="5998"/>
        <w:gridCol w:w="109"/>
        <w:gridCol w:w="3134"/>
        <w:gridCol w:w="109"/>
        <w:gridCol w:w="538"/>
        <w:gridCol w:w="317"/>
      </w:tblGrid>
      <w:tr>
        <w:trPr/>
        <w:tc>
          <w:tcPr>
            <w:tcW w:w="5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99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 of Beneficial Owner</w:t>
            </w:r>
          </w:p>
        </w:tc>
        <w:tc>
          <w:tcPr>
            <w:tcW w:w="109" w:type="dxa"/>
            <w:tcBorders/>
            <w:vAlign w:val="center"/>
          </w:tcPr>
          <w:p>
            <w:pPr>
              <w:pStyle w:val="TableContents"/>
              <w:bidi w:val="0"/>
              <w:spacing w:before="0" w:after="283"/>
              <w:jc w:val="left"/>
              <w:rPr>
                <w:sz w:val="4"/>
                <w:szCs w:val="4"/>
              </w:rPr>
            </w:pPr>
            <w:r>
              <w:rPr>
                <w:sz w:val="4"/>
                <w:szCs w:val="4"/>
              </w:rPr>
            </w:r>
          </w:p>
        </w:tc>
        <w:tc>
          <w:tcPr>
            <w:tcW w:w="3134"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 of Shares Beneficially Owned</w:t>
            </w:r>
          </w:p>
        </w:tc>
        <w:tc>
          <w:tcPr>
            <w:tcW w:w="109" w:type="dxa"/>
            <w:tcBorders/>
            <w:vAlign w:val="center"/>
          </w:tcPr>
          <w:p>
            <w:pPr>
              <w:pStyle w:val="TableContents"/>
              <w:bidi w:val="0"/>
              <w:spacing w:before="0" w:after="283"/>
              <w:jc w:val="left"/>
              <w:rPr>
                <w:sz w:val="4"/>
                <w:szCs w:val="4"/>
              </w:rPr>
            </w:pPr>
            <w:r>
              <w:rPr>
                <w:sz w:val="4"/>
                <w:szCs w:val="4"/>
              </w:rPr>
            </w:r>
          </w:p>
        </w:tc>
        <w:tc>
          <w:tcPr>
            <w:tcW w:w="855"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Percent</w:t>
            </w:r>
          </w:p>
        </w:tc>
      </w:tr>
      <w:tr>
        <w:trPr/>
        <w:tc>
          <w:tcPr>
            <w:tcW w:w="599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 Stockholders: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3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998"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Savitr Capital LLC</w:t>
            </w:r>
            <w:r>
              <w:rPr>
                <w:rFonts w:ascii="Times New Roman;serif" w:hAnsi="Times New Roman;serif"/>
                <w:b w:val="false"/>
                <w:i w:val="false"/>
                <w:caps w:val="false"/>
                <w:smallCaps w:val="false"/>
                <w:position w:val="7"/>
                <w:sz w:val="16"/>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2,770,535</w:t>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w:t>
            </w:r>
          </w:p>
        </w:tc>
        <w:tc>
          <w:tcPr>
            <w:tcW w:w="3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998"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Cannell Capital LLC</w:t>
            </w:r>
            <w:r>
              <w:rPr>
                <w:rFonts w:ascii="Times New Roman;serif" w:hAnsi="Times New Roman;serif"/>
                <w:b w:val="false"/>
                <w:i w:val="false"/>
                <w:caps w:val="false"/>
                <w:smallCaps w:val="false"/>
                <w:position w:val="7"/>
                <w:sz w:val="16"/>
                <w:sz w:val="2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2,453,327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c>
        <w:tc>
          <w:tcPr>
            <w:tcW w:w="3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99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Named Executive Officers and Directors (not otherwise included above):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3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before="0" w:after="283"/>
              <w:jc w:val="left"/>
              <w:rPr>
                <w:sz w:val="4"/>
                <w:szCs w:val="4"/>
              </w:rPr>
            </w:pPr>
            <w:r>
              <w:rPr>
                <w:sz w:val="4"/>
                <w:szCs w:val="4"/>
              </w:rPr>
            </w:r>
          </w:p>
        </w:tc>
        <w:tc>
          <w:tcPr>
            <w:tcW w:w="317" w:type="dxa"/>
            <w:tcBorders/>
            <w:shd w:fill="CCEEFF" w:val="clear"/>
            <w:vAlign w:val="center"/>
          </w:tcPr>
          <w:p>
            <w:pPr>
              <w:pStyle w:val="TableContents"/>
              <w:bidi w:val="0"/>
              <w:spacing w:before="0" w:after="283"/>
              <w:jc w:val="left"/>
              <w:rPr>
                <w:sz w:val="4"/>
                <w:szCs w:val="4"/>
              </w:rPr>
            </w:pPr>
            <w:r>
              <w:rPr>
                <w:sz w:val="4"/>
                <w:szCs w:val="4"/>
              </w:rPr>
            </w:r>
          </w:p>
        </w:tc>
      </w:tr>
      <w:tr>
        <w:trPr/>
        <w:tc>
          <w:tcPr>
            <w:tcW w:w="5998"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Jonathan Lennon, Director, and Fund 1 Investments, LLC</w:t>
            </w:r>
            <w:r>
              <w:rPr>
                <w:rFonts w:ascii="Times New Roman;serif" w:hAnsi="Times New Roman;serif"/>
                <w:b w:val="false"/>
                <w:i w:val="false"/>
                <w:caps w:val="false"/>
                <w:smallCaps w:val="false"/>
                <w:position w:val="7"/>
                <w:sz w:val="16"/>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12,859,012</w:t>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32.3</w:t>
            </w:r>
          </w:p>
        </w:tc>
        <w:tc>
          <w:tcPr>
            <w:tcW w:w="3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998"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Peter J. Jacullo III, Director</w:t>
            </w:r>
            <w:r>
              <w:rPr>
                <w:rFonts w:ascii="Times New Roman;serif" w:hAnsi="Times New Roman;serif"/>
                <w:b w:val="false"/>
                <w:i w:val="false"/>
                <w:caps w:val="false"/>
                <w:smallCaps w:val="false"/>
                <w:position w:val="7"/>
                <w:sz w:val="16"/>
                <w:sz w:val="20"/>
              </w:rPr>
              <w:t>(4)(12)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8,444,707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21.2</w:t>
            </w:r>
          </w:p>
        </w:tc>
        <w:tc>
          <w:tcPr>
            <w:tcW w:w="3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998"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Peter H. Kamin, Chairman of the Board</w:t>
            </w:r>
            <w:r>
              <w:rPr>
                <w:rFonts w:ascii="Times New Roman;serif" w:hAnsi="Times New Roman;serif"/>
                <w:b w:val="false"/>
                <w:i w:val="false"/>
                <w:caps w:val="false"/>
                <w:smallCaps w:val="false"/>
                <w:position w:val="7"/>
                <w:sz w:val="16"/>
                <w:sz w:val="20"/>
              </w:rPr>
              <w:t>(5)(12)</w:t>
            </w:r>
          </w:p>
        </w:tc>
        <w:tc>
          <w:tcPr>
            <w:tcW w:w="109"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7,017,159</w:t>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17.6</w:t>
            </w:r>
          </w:p>
        </w:tc>
        <w:tc>
          <w:tcPr>
            <w:tcW w:w="3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998"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Cabell Lolmaugh, Chief Executive Officer, President and Director</w:t>
            </w:r>
            <w:r>
              <w:rPr>
                <w:rFonts w:ascii="Times New Roman;serif" w:hAnsi="Times New Roman;serif"/>
                <w:b w:val="false"/>
                <w:i w:val="false"/>
                <w:caps w:val="false"/>
                <w:smallCaps w:val="false"/>
                <w:position w:val="7"/>
                <w:sz w:val="16"/>
                <w:sz w:val="20"/>
              </w:rPr>
              <w:t>(6)(12)(13)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409,796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3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998"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Mark B. Davis, Senior Vice President and Chief Financial Officer</w:t>
            </w:r>
            <w:r>
              <w:rPr>
                <w:rFonts w:ascii="Times New Roman;serif" w:hAnsi="Times New Roman;serif"/>
                <w:b w:val="false"/>
                <w:i w:val="false"/>
                <w:caps w:val="false"/>
                <w:smallCaps w:val="false"/>
                <w:position w:val="7"/>
                <w:sz w:val="16"/>
                <w:sz w:val="20"/>
              </w:rPr>
              <w:t>(7)(13)</w:t>
            </w:r>
          </w:p>
        </w:tc>
        <w:tc>
          <w:tcPr>
            <w:tcW w:w="109"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133,215</w:t>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17" w:type="dxa"/>
            <w:tcBorders/>
            <w:vAlign w:val="center"/>
          </w:tcPr>
          <w:p>
            <w:pPr>
              <w:pStyle w:val="TableContents"/>
              <w:bidi w:val="0"/>
              <w:spacing w:before="0" w:after="283"/>
              <w:jc w:val="left"/>
              <w:rPr>
                <w:sz w:val="4"/>
                <w:szCs w:val="4"/>
              </w:rPr>
            </w:pPr>
            <w:r>
              <w:rPr>
                <w:sz w:val="4"/>
                <w:szCs w:val="4"/>
              </w:rPr>
            </w:r>
          </w:p>
        </w:tc>
      </w:tr>
      <w:tr>
        <w:trPr/>
        <w:tc>
          <w:tcPr>
            <w:tcW w:w="5998"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Joseph Kinder, Senior Vice President, Supply Chain and Distribution</w:t>
            </w:r>
            <w:r>
              <w:rPr>
                <w:rFonts w:ascii="Times New Roman;serif" w:hAnsi="Times New Roman;serif"/>
                <w:b w:val="false"/>
                <w:i w:val="false"/>
                <w:caps w:val="false"/>
                <w:smallCaps w:val="false"/>
                <w:position w:val="7"/>
                <w:sz w:val="16"/>
                <w:sz w:val="20"/>
              </w:rPr>
              <w:t>(8)(13)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183,741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17" w:type="dxa"/>
            <w:tcBorders/>
            <w:shd w:fill="CCEEFF" w:val="clear"/>
            <w:vAlign w:val="center"/>
          </w:tcPr>
          <w:p>
            <w:pPr>
              <w:pStyle w:val="TableContents"/>
              <w:bidi w:val="0"/>
              <w:spacing w:before="0" w:after="283"/>
              <w:jc w:val="left"/>
              <w:rPr>
                <w:sz w:val="4"/>
                <w:szCs w:val="4"/>
              </w:rPr>
            </w:pPr>
            <w:r>
              <w:rPr>
                <w:sz w:val="4"/>
                <w:szCs w:val="4"/>
              </w:rPr>
            </w:r>
          </w:p>
        </w:tc>
      </w:tr>
      <w:tr>
        <w:trPr/>
        <w:tc>
          <w:tcPr>
            <w:tcW w:w="5998"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Mark J. Bonney, Director</w:t>
            </w:r>
            <w:r>
              <w:rPr>
                <w:rFonts w:ascii="Times New Roman;serif" w:hAnsi="Times New Roman;serif"/>
                <w:b w:val="false"/>
                <w:i w:val="false"/>
                <w:caps w:val="false"/>
                <w:smallCaps w:val="false"/>
                <w:position w:val="7"/>
                <w:sz w:val="16"/>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127,627</w:t>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17" w:type="dxa"/>
            <w:tcBorders/>
            <w:vAlign w:val="center"/>
          </w:tcPr>
          <w:p>
            <w:pPr>
              <w:pStyle w:val="TableContents"/>
              <w:bidi w:val="0"/>
              <w:spacing w:before="0" w:after="283"/>
              <w:jc w:val="left"/>
              <w:rPr>
                <w:sz w:val="4"/>
                <w:szCs w:val="4"/>
              </w:rPr>
            </w:pPr>
            <w:r>
              <w:rPr>
                <w:sz w:val="4"/>
                <w:szCs w:val="4"/>
              </w:rPr>
            </w:r>
          </w:p>
        </w:tc>
      </w:tr>
      <w:tr>
        <w:trPr/>
        <w:tc>
          <w:tcPr>
            <w:tcW w:w="59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Benjamin Faw, Director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17" w:type="dxa"/>
            <w:tcBorders/>
            <w:shd w:fill="CCEEFF" w:val="clear"/>
            <w:vAlign w:val="center"/>
          </w:tcPr>
          <w:p>
            <w:pPr>
              <w:pStyle w:val="TableContents"/>
              <w:bidi w:val="0"/>
              <w:spacing w:before="0" w:after="283"/>
              <w:jc w:val="left"/>
              <w:rPr>
                <w:sz w:val="4"/>
                <w:szCs w:val="4"/>
              </w:rPr>
            </w:pPr>
            <w:r>
              <w:rPr>
                <w:sz w:val="4"/>
                <w:szCs w:val="4"/>
              </w:rPr>
            </w:r>
          </w:p>
        </w:tc>
      </w:tr>
      <w:tr>
        <w:trPr/>
        <w:tc>
          <w:tcPr>
            <w:tcW w:w="5998"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Deborah K. Glasser, Director</w:t>
            </w:r>
            <w:r>
              <w:rPr>
                <w:rFonts w:ascii="Times New Roman;serif" w:hAnsi="Times New Roman;serif"/>
                <w:b w:val="false"/>
                <w:i w:val="false"/>
                <w:caps w:val="false"/>
                <w:smallCaps w:val="false"/>
                <w:position w:val="7"/>
                <w:sz w:val="16"/>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186,612</w:t>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17" w:type="dxa"/>
            <w:tcBorders/>
            <w:vAlign w:val="center"/>
          </w:tcPr>
          <w:p>
            <w:pPr>
              <w:pStyle w:val="TableContents"/>
              <w:bidi w:val="0"/>
              <w:spacing w:before="0" w:after="283"/>
              <w:jc w:val="left"/>
              <w:rPr>
                <w:sz w:val="4"/>
                <w:szCs w:val="4"/>
              </w:rPr>
            </w:pPr>
            <w:r>
              <w:rPr>
                <w:sz w:val="4"/>
                <w:szCs w:val="4"/>
              </w:rPr>
            </w:r>
          </w:p>
        </w:tc>
      </w:tr>
      <w:tr>
        <w:trPr/>
        <w:tc>
          <w:tcPr>
            <w:tcW w:w="5998"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i w:val="false"/>
                <w:caps w:val="false"/>
                <w:smallCaps w:val="false"/>
                <w:sz w:val="20"/>
              </w:rPr>
              <w:t>All Current Executive Officers and Directors as a Group (9 persons)</w:t>
            </w:r>
            <w:r>
              <w:rPr>
                <w:rFonts w:ascii="Times New Roman;serif" w:hAnsi="Times New Roman;serif"/>
                <w:b/>
                <w:i w:val="false"/>
                <w:caps w:val="false"/>
                <w:smallCaps w:val="false"/>
                <w:position w:val="7"/>
                <w:sz w:val="16"/>
                <w:sz w:val="20"/>
              </w:rPr>
              <w:t>(11)(13)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29,361,869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73.3</w:t>
            </w:r>
          </w:p>
        </w:tc>
        <w:tc>
          <w:tcPr>
            <w:tcW w:w="3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ind w:left="547" w:right="0" w:hanging="0"/>
        <w:rPr>
          <w:rFonts w:ascii="Times New Roman;serif" w:hAnsi="Times New Roman;serif"/>
          <w:sz w:val="20"/>
        </w:rPr>
      </w:pPr>
      <w:r>
        <w:rPr>
          <w:rFonts w:ascii="Times New Roman;serif" w:hAnsi="Times New Roman;serif"/>
          <w:b w:val="false"/>
          <w:i w:val="false"/>
          <w:caps w:val="false"/>
          <w:smallCaps w:val="false"/>
          <w:color w:val="000000"/>
          <w:sz w:val="20"/>
        </w:rPr>
        <w:t>*</w:t>
      </w:r>
      <w:r>
        <w:rPr>
          <w:rFonts w:ascii="Times New Roman;serif" w:hAnsi="Times New Roman;serif"/>
          <w:caps w:val="false"/>
          <w:smallCaps w:val="false"/>
          <w:color w:val="000000"/>
          <w:sz w:val="20"/>
        </w:rPr>
        <w:t> </w:t>
      </w:r>
      <w:r>
        <w:rPr>
          <w:rFonts w:ascii="Times New Roman;serif" w:hAnsi="Times New Roman;serif"/>
          <w:b w:val="false"/>
          <w:i w:val="false"/>
          <w:caps w:val="false"/>
          <w:smallCaps w:val="false"/>
          <w:color w:val="000000"/>
          <w:sz w:val="20"/>
        </w:rPr>
        <w:t>Represents beneficial ownership of less than 1% of the outstanding common stock.</w:t>
      </w:r>
    </w:p>
    <w:p>
      <w:pPr>
        <w:pStyle w:val="TextBody"/>
        <w:bidi w:val="0"/>
        <w:spacing w:lineRule="auto" w:line="252"/>
        <w:ind w:left="720"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(1)Based on a Schedule 13G filed with the SEC on January 28, 2020 by Savitr Capital LLC (“Savitr”), Savitr holds shared voting and dispositive power over 2,770,535 shares of common stock. The business address of Savitr is 600 Montgomery Street, 47th Floor, San Francisco, California 94111.</w:t>
      </w:r>
    </w:p>
    <w:p>
      <w:pPr>
        <w:pStyle w:val="TextBody"/>
        <w:bidi w:val="0"/>
        <w:spacing w:lineRule="auto" w:line="252"/>
        <w:ind w:left="720"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(2)Based on a Schedule 13G/A filed with the SEC on February 13, 2023 by Cannell Capital LLC and J. Carlo Cannell, Cannell Capital LLC and Mr. Cannell hold shared voting and dispositive power over 2,453,327 shares of common stock. Cannell Capital LLC acts as an investment adviser. Mr. Cannell is the managing member of Cannell Capital LLC. The business address of the reporting persons is 245 Meriwether Circle, Alta, Wyoming 83414.</w:t>
      </w:r>
    </w:p>
    <w:p>
      <w:pPr>
        <w:pStyle w:val="TextBody"/>
        <w:bidi w:val="0"/>
        <w:spacing w:lineRule="auto" w:line="252" w:before="0" w:after="160"/>
        <w:ind w:left="720"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(3)Based on a Schedule 13D/A and Form 4 filed with the SEC on December 16, 2025 by Fund 1 Investments, LLC and a Form 3 filed by Jonathan Lennon on January 15, 2026, Fund 1 Investments, LLC holds shared voting and dispositive power over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2" w:before="0" w:after="160"/>
        <w:ind w:left="720" w:right="0" w:hanging="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12,859,012 shares of common stock, of which 11,856,805 shares are held for the benefit of PLP Funds Master Fund LP and 1,002,207 shares are held for the benefit of an unaffiliated private fund. Pleasant Lake Partners LLC serves as investment adviser for these funds. Fund 1 Investments, LLC serves as managing member of Pleasant Lake Partners LLC. Jonathan Lennon serves as managing member of Fund 1 Investments, LLC. Each of Fund 1 Investments, LLC, Pleasant Lake Partners LLC, and Mr. Lennon disclaims beneficial ownership of the shares except to the extent of its or his pecuniary interest therein. The business address of Fund 1 Investments, LLC is 100 Carr 115 Unit 1900, Rincon, Puerto Rico 00677.</w:t>
      </w:r>
    </w:p>
    <w:p>
      <w:pPr>
        <w:pStyle w:val="TextBody"/>
        <w:bidi w:val="0"/>
        <w:spacing w:lineRule="auto" w:line="252"/>
        <w:ind w:left="720"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(4)Based on a Schedule 13D/A filed with the SEC on January 5, 2026 by JWTS, Inc. (“JWTS”), Peter J. Jacullo III, and the Katherine D. Jacullo Children’s 1993 Irrevocable Trust (the “Jacullo Trust”) and a Form 4 filed by Mr. Jacullo with the SEC on June 5, 2025. JWTS directly holds 3,191,180 shares of common stock and has sole voting and dispositive power with respect to such shares. Mr. Jacullo is the President and sole member of the board of directors of JWTS, holds sole voting and dispositive power over the securities held by JWTS, and may be deemed to beneficially own the securities held by JWTS. The Jacullo Trust directly holds 4,706,489 shares of common stock and has shared voting and dispositive power with respect to such shares. Mr. Jacullo is a co-trustee of the Jacullo Trust, holds shared voting and dispositive power over the securities held by the Jacullo Trust, and may be deemed to beneficially own the securities held by the Jacullo Trust. Mr. Jacullo disclaims beneficial ownership of the shares of common stock held by the Jacullo Trust, except to the extent of his pecuniary interest therein. Mr. Jacullo directly holds 547,038 shares of common stock over which he has sole voting and dispositive power, including 16,875 shares of unvested restricted common stock.</w:t>
      </w:r>
    </w:p>
    <w:p>
      <w:pPr>
        <w:pStyle w:val="TextBody"/>
        <w:bidi w:val="0"/>
        <w:spacing w:lineRule="auto" w:line="252"/>
        <w:ind w:left="720"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(5)Based on a Schedule 13D/A filed with the SEC on December 31, 2025 by Peter H. Kamin and a Form 4 filed by Mr. Kamin with the SEC on June 5, 2025. Includes (i) 1,695,320 shares of common stock held by the Peter H. Kamin Revocable Trust dated February 2003, of which Peter H. Kamin is the trustee; (ii) 1,033,733 shares of common stock held by the Peter H. Kamin Childrens Trust dated March 1997, of which Mr. Kamin is the trustee; (iii) 117,453 shares of common stock held by the Peter H. Kamin Family Foundation, of which Mr. Kamin is the trustee; (iv) 328,711 shares of common stock held by the Peter H. Kamin GST Trust, of which Mr. Kamin is the trustee; (v) 333,495 shares of common stock held by 3K Limited Partnership, of which Mr. Kamin is the general partner; and (vi) 3,508,447 shares of common stock directly held by Mr. Kamin, including 32,063 shares of unvested restricted common stock. Mr. Kamin has sole voting and dispositive power over all such shares.</w:t>
      </w:r>
    </w:p>
    <w:p>
      <w:pPr>
        <w:pStyle w:val="TextBody"/>
        <w:bidi w:val="0"/>
        <w:spacing w:lineRule="auto" w:line="252"/>
        <w:ind w:left="720"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(6)Includes 92,870 shares of unvested restricted common stock held by Mr. Lolmaugh and options to purchase 179,967 shares of common stock that are currently exercisable.</w:t>
      </w:r>
    </w:p>
    <w:p>
      <w:pPr>
        <w:pStyle w:val="TextBody"/>
        <w:bidi w:val="0"/>
        <w:spacing w:lineRule="auto" w:line="252"/>
        <w:ind w:left="720"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(7)Includes 58,296 shares of unvested restricted common stock held by Mr. Davis and options to purchase 5,400 shares of common stock that are currently exercisable.</w:t>
      </w:r>
    </w:p>
    <w:p>
      <w:pPr>
        <w:pStyle w:val="TextBody"/>
        <w:bidi w:val="0"/>
        <w:spacing w:lineRule="auto" w:line="252"/>
        <w:ind w:left="720"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(8)Includes 53,204 shares of unvested restricted common stock held by Mr. Kinder and options to purchase 76,900 shares of common stock that are currently exercisable.</w:t>
      </w:r>
    </w:p>
    <w:p>
      <w:pPr>
        <w:pStyle w:val="TextBody"/>
        <w:bidi w:val="0"/>
        <w:spacing w:lineRule="auto" w:line="252"/>
        <w:ind w:left="720"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(9)Includes 11,813 shares of unvested restricted stock held by Mr. Bonney.</w:t>
      </w:r>
    </w:p>
    <w:p>
      <w:pPr>
        <w:pStyle w:val="TextBody"/>
        <w:bidi w:val="0"/>
        <w:spacing w:lineRule="auto" w:line="252"/>
        <w:ind w:left="720"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(10)Includes 19,407 shares of unvested restricted stock held by Ms. Glasser and 3,383 shares of common stock directly owned by Ms. Glasser’s spouse.</w:t>
      </w:r>
    </w:p>
    <w:p>
      <w:pPr>
        <w:pStyle w:val="TextBody"/>
        <w:bidi w:val="0"/>
        <w:spacing w:lineRule="auto" w:line="252"/>
        <w:ind w:left="720"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(11)Includes 265,121 shares of unvested restricted common stock and options to purchase 262,267 shares of common stock that are currently exercisable. </w:t>
      </w:r>
    </w:p>
    <w:p>
      <w:pPr>
        <w:pStyle w:val="TextBody"/>
        <w:bidi w:val="0"/>
        <w:spacing w:lineRule="auto" w:line="252"/>
        <w:ind w:left="720"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(12)On January 10, 2020, the then-serving directors delivered Director Standstill Commitments to us, as described above under the heading “Director Compensation—Standstill Agreements” in Item 11. </w:t>
      </w:r>
    </w:p>
    <w:p>
      <w:pPr>
        <w:pStyle w:val="TextBody"/>
        <w:bidi w:val="0"/>
        <w:spacing w:lineRule="auto" w:line="252"/>
        <w:ind w:left="720"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(13)Mr. Lolmaugh, Mr. Davis and Mr. Kinder’s holdings include 32,015, 18,840, and 17,362 performance-based restricted shares, respectively, for which the performance condition was not achieved. Such shares were cancelled in February 2026 upon the filing of this Annual Report on Form 10-K, which is after the date of this table.</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ITEM 13. CERTAIN RE</w:t>
      </w:r>
      <w:bookmarkStart w:id="76" w:name="Item_13_CertainRelationshipsAndRelated"/>
      <w:bookmarkEnd w:id="76"/>
      <w:r>
        <w:rPr>
          <w:rFonts w:ascii="Times New Roman;serif" w:hAnsi="Times New Roman;serif"/>
          <w:b/>
          <w:i w:val="false"/>
          <w:caps w:val="false"/>
          <w:smallCaps w:val="false"/>
          <w:color w:val="000000"/>
          <w:sz w:val="20"/>
        </w:rPr>
        <w:t>LATIONSHIPS AND RELATED TRANSACTIONS, AND DIRECTOR INDEPENDENCE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Independence of the Board of Directors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Because we are quoted on the OTC and not listed on a national securities exchange, we are currently not subject to certain corporate governance requirements that apply to exchange-listed companies. For purposes of evaluating the independence of our directors, our Board uses the rules of the SEC and Nasdaq. Based upon information requested from and provided by each director concerning his or her background, employment, and affiliations, including family relationships, and all other facts and circumstances the Board deemed relevant, including the Cooperation Agreement and Mr. Lennon’s relationship with the Company’s largest stockholder, the Board determined that Messrs. Bonney, Faw, Jacullo, Kamin and Lennon and Ms. Glasser do not have a relationship that would interfere with the exercise of independent judgment in carrying out the responsibilities of a director, and that each of these directors is independent. The Board also determined that Ms. Solheid, who served on the Board during 2025, was independent. The Board has further determined that each current member of each committee, and each member of each committee during 2025, meets or met the relevant independence standards for service on each committee. Mr. Lolmaugh, our Chief Executive Officer and President, is not an independent director by virtue of his employment with us.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Certain Relationships and Related Transactions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than as described below, since the beginning of our 2024 fiscal year, there have been no transactions, or series of transactions, to which we were a participant or will be a participant, in which:</w:t>
      </w:r>
    </w:p>
    <w:p>
      <w:pPr>
        <w:pStyle w:val="TextBody"/>
        <w:bidi w:val="0"/>
        <w:spacing w:lineRule="auto" w:line="252" w:before="0" w:after="160"/>
        <w:ind w:left="734" w:right="0" w:hanging="360"/>
        <w:rPr/>
      </w:pPr>
      <w:r>
        <w:rPr>
          <w:caps w:val="false"/>
          <w:smallCaps w:val="false"/>
          <w:color w:val="000000"/>
        </w:rPr>
        <w:t></w:t>
      </w:r>
      <w:r>
        <w:rPr>
          <w:rFonts w:ascii="Times New Roman;serif" w:hAnsi="Times New Roman;serif"/>
          <w:b w:val="false"/>
          <w:i w:val="false"/>
          <w:caps w:val="false"/>
          <w:smallCaps w:val="false"/>
          <w:color w:val="000000"/>
          <w:sz w:val="20"/>
        </w:rPr>
        <w:t>the amounts involved exceeded or will exceed the lesser of $120,000 or 1% of the average of our total assets at year end for the last two completed fiscal years; and</w:t>
      </w:r>
    </w:p>
    <w:p>
      <w:pPr>
        <w:pStyle w:val="TextBody"/>
        <w:bidi w:val="0"/>
        <w:spacing w:lineRule="auto" w:line="252"/>
        <w:ind w:left="734" w:right="0" w:hanging="360"/>
        <w:rPr/>
      </w:pPr>
      <w:r>
        <w:rPr>
          <w:caps w:val="false"/>
          <w:smallCaps w:val="false"/>
          <w:color w:val="000000"/>
        </w:rPr>
        <w:t></w:t>
      </w:r>
      <w:r>
        <w:rPr>
          <w:rFonts w:ascii="Times New Roman;serif" w:hAnsi="Times New Roman;serif"/>
          <w:b w:val="false"/>
          <w:i w:val="false"/>
          <w:caps w:val="false"/>
          <w:smallCaps w:val="false"/>
          <w:color w:val="000000"/>
          <w:sz w:val="20"/>
        </w:rPr>
        <w:t>any of our directors, executive officers, holders of more than 5% of our common stock or any immediate family member of any of the foregoing, as defined in Item 404 of Regulation S-K of the Exchange Act and interpreted by the SEC in related guidance (individually, a “related person” and, collectively, the “related persons”), had or will have a direct or indirect material interest.</w:t>
      </w:r>
    </w:p>
    <w:p>
      <w:pPr>
        <w:pStyle w:val="TextBody"/>
        <w:bidi w:val="0"/>
        <w:spacing w:lineRule="auto" w:line="252"/>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Compensation arrangements with our named executive officers and directors are described elsewhere in this report. From time to time, we employ related persons and other family members of our officers and directors. Consistent with the policy described below, all such employment arrangements involving amounts exceeding $120,000 are reviewed by the Audit Committee. We may also sell products to related persons, and related persons may purchase products or services from our suppliers for individual use. If such arrangements fall within the terms of the policy described below, they will also be reviewed by the Audit Committee.</w:t>
      </w:r>
    </w:p>
    <w:p>
      <w:pPr>
        <w:pStyle w:val="TextBody"/>
        <w:bidi w:val="0"/>
        <w:spacing w:lineRule="auto" w:line="252"/>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Policies and Procedures for Related Person Transactions</w:t>
      </w:r>
    </w:p>
    <w:p>
      <w:pPr>
        <w:pStyle w:val="TextBody"/>
        <w:bidi w:val="0"/>
        <w:spacing w:lineRule="auto" w:line="252"/>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Board has in place a written related person transaction policy that sets forth the policies and procedures for the review and approval or ratification of related person transactions. This policy is administered by our Audit Committee and covers any transaction, arrangement, or relationship, or any series of similar transactions, arrangements, or relationships, in which we were or are to be a participant, the amount involved exceeds $120,000 and a related person had or will have a direct or indirect material interest. Pursuant to this policy, our Audit Committee will consider (a) the relevant facts and circumstances of the related person transaction, including if the related person transaction is on terms comparable to those that could be obtained in arm’s length dealings with an unrelated third-party, (b) the extent of the related person’s interest in the related person transaction, (c) whether the related person transaction contravenes the conflict of interest and corporate opportunity provisions of our Code of Business Conduct and Ethics, (d) the input of the Chief Financial Officer following due consultation, (e) whether the relationship underlying the related person transaction at issue is believed to serve the best interest of us and our stockholders, and (f) the effect that a director’s related person transaction may have on such director’s status as an independent member of the Board and eligibility to serve on committees of the Board.</w:t>
      </w:r>
    </w:p>
    <w:p>
      <w:pPr>
        <w:pStyle w:val="TextBody"/>
        <w:bidi w:val="0"/>
        <w:spacing w:lineRule="auto" w:line="252"/>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Each related person will present to our Audit Committee each proposed related person transaction to which such related person is a party, including all relevant facts and circumstances relating thereto, and will update the Audit Committee as to any material changes to any related person transaction. All related person transactions may only be consummated if our Audit Committee has approved or ratified such transaction in accordance with the guidelines set forth in the policy. Related party transactions do not include: (i) the payment of compensation by us to our executive officers or directors; (ii) a transaction in which the interest of the related person arises solely from ownership of a class of our securities where all holders of that class of securities receive the same benefit, on a pro-rata basis, from the transaction; or (iii) a transaction in which the rates or charges involved are determined by competitive bids. Additionally, certain types of transactions have been pre-approved by our Audit Committee under the policy as not involving a material interest. These pre-approved transactions include transactions in the ordinary course of business where the related party’s interest arises only: (i) from his or her position as a director of another entity that is party to the transaction; (ii) from an equity interest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2"/>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less than 5% in another entity that is party to the transaction (other than a partnership); or (iii) from a limited partnership interest of less than 5%, subject to certain limitations. No director will be permitted to participate in the approval of a related person transaction for which he or she is a related party.</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ITEM 14. PRINCIPAL ACC</w:t>
      </w:r>
      <w:bookmarkStart w:id="77" w:name="Item_14_PrincipalAccountantFeesAndServic"/>
      <w:bookmarkEnd w:id="77"/>
      <w:r>
        <w:rPr>
          <w:rFonts w:ascii="Times New Roman;serif" w:hAnsi="Times New Roman;serif"/>
          <w:b/>
          <w:i w:val="false"/>
          <w:caps w:val="false"/>
          <w:smallCaps w:val="false"/>
          <w:color w:val="000000"/>
          <w:sz w:val="20"/>
        </w:rPr>
        <w:t>OUNTANT FEES AND SERVICES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the fees for the professional services provided by RSM US LLP for fiscal years 2025 and 2024:</w:t>
      </w:r>
    </w:p>
    <w:tbl>
      <w:tblPr>
        <w:tblW w:w="4391" w:type="dxa"/>
        <w:jc w:val="left"/>
        <w:tblInd w:w="0" w:type="dxa"/>
        <w:tblLayout w:type="fixed"/>
        <w:tblCellMar>
          <w:top w:w="0" w:type="dxa"/>
          <w:left w:w="0" w:type="dxa"/>
          <w:bottom w:w="0" w:type="dxa"/>
          <w:right w:w="0" w:type="dxa"/>
        </w:tblCellMar>
      </w:tblPr>
      <w:tblGrid>
        <w:gridCol w:w="1891"/>
        <w:gridCol w:w="109"/>
        <w:gridCol w:w="211"/>
        <w:gridCol w:w="853"/>
        <w:gridCol w:w="109"/>
        <w:gridCol w:w="211"/>
        <w:gridCol w:w="853"/>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Audit Fees</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942,431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819,500</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Audit-Related Fees</w:t>
            </w:r>
            <w:r>
              <w:rPr>
                <w:rFonts w:ascii="Times New Roman;serif" w:hAnsi="Times New Roman;serif"/>
                <w:b w:val="false"/>
                <w:i w:val="false"/>
                <w:caps w:val="false"/>
                <w:smallCaps w:val="false"/>
                <w:position w:val="7"/>
                <w:sz w:val="16"/>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Tax Fees</w:t>
            </w:r>
            <w:r>
              <w:rPr>
                <w:rFonts w:ascii="Times New Roman;serif" w:hAnsi="Times New Roman;serif"/>
                <w:b w:val="false"/>
                <w:i w:val="false"/>
                <w:caps w:val="false"/>
                <w:smallCaps w:val="false"/>
                <w:position w:val="7"/>
                <w:sz w:val="16"/>
                <w:sz w:val="20"/>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All Other Fees</w:t>
            </w:r>
            <w:r>
              <w:rPr>
                <w:rFonts w:ascii="Times New Roman;serif" w:hAnsi="Times New Roman;serif"/>
                <w:b w:val="false"/>
                <w:i w:val="false"/>
                <w:caps w:val="false"/>
                <w:smallCaps w:val="false"/>
                <w:position w:val="7"/>
                <w:sz w:val="16"/>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942,431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819,500</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160"/>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(1)Audit Fees were principally for services rendered for the audit and/or review of our consolidated financial statements.</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(2)Audit-Related Fees includes fees for services rendered in connection with accounting and reporting consultations, as well as other audits required by contract or regulation.</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(3)Tax Fees consist of fees billed in the indicated year for professional services with respect to tax compliance, tax advice and tax planning.</w:t>
      </w:r>
    </w:p>
    <w:p>
      <w:pPr>
        <w:pStyle w:val="TextBody"/>
        <w:bidi w:val="0"/>
        <w:spacing w:lineRule="auto" w:line="252"/>
        <w:ind w:left="734" w:right="0" w:hanging="36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(4)All Other Fees consist of fees billed in the indicated year for other permissible work that is not included within the above category descriptions.</w:t>
      </w:r>
    </w:p>
    <w:p>
      <w:pPr>
        <w:pStyle w:val="TextBody"/>
        <w:bidi w:val="0"/>
        <w:spacing w:lineRule="auto" w:line="259"/>
        <w:rPr>
          <w:caps w:val="false"/>
          <w:smallCaps w:val="false"/>
        </w:rPr>
      </w:pPr>
      <w:r>
        <w:rPr>
          <w:caps w:val="false"/>
          <w:smallCaps w:val="false"/>
        </w:rPr>
        <w:t> </w:t>
      </w:r>
      <w:bookmarkStart w:id="78" w:name="a_009"/>
      <w:bookmarkEnd w:id="78"/>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Pre-Approval Policies and Procedures</w:t>
      </w:r>
    </w:p>
    <w:p>
      <w:pPr>
        <w:pStyle w:val="TextBody"/>
        <w:bidi w:val="0"/>
        <w:spacing w:lineRule="auto" w:line="259"/>
        <w:rPr>
          <w:caps w:val="false"/>
          <w:smallCaps w:val="false"/>
        </w:rPr>
      </w:pPr>
      <w:r>
        <w:rPr>
          <w:caps w:val="false"/>
          <w:smallCaps w:val="false"/>
        </w:rPr>
        <w:t> </w:t>
      </w:r>
    </w:p>
    <w:p>
      <w:pPr>
        <w:pStyle w:val="TextBody"/>
        <w:bidi w:val="0"/>
        <w:spacing w:lineRule="auto" w:line="259" w:before="0" w:after="1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its written charter, the Audit Committee is required to pre-approve the audit and non-audit services performed by our independent auditors. Notwithstanding the foregoing, during 2025, separate Audit Committee pre-approval was not required (a) if the engagement for services was entered into pursuant to pre-approval policies and procedures established by the Audit Committee regarding our engagement of the independent auditor (the “Pre-Approval Policy”) as to matters within the scope of the Pre-Approval Policy or (b) for de minimis non-audit services that were approved in accordance with applicable SEC rules. The Audit Committee has determined that the rendering of the services other than audit services by its principal accountant is compatible with maintaining the principal accountant’s independence. All services performed by RSM US LLP for fiscal years 2025 and 2024 were pre-approved in accordance with the Pre-Approval Policy.</w:t>
      </w:r>
    </w:p>
    <w:p>
      <w:pPr>
        <w:pStyle w:val="TextBody"/>
        <w:bidi w:val="0"/>
        <w:spacing w:lineRule="auto" w:line="259"/>
        <w:ind w:left="720" w:right="0" w:hanging="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IV</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w:t>
      </w:r>
      <w:bookmarkStart w:id="79" w:name="Item15_ExhibitsFinancialStatementSchedul"/>
      <w:bookmarkEnd w:id="79"/>
      <w:r>
        <w:rPr>
          <w:rFonts w:ascii="Times New Roman;serif" w:hAnsi="Times New Roman;serif"/>
          <w:b/>
          <w:i w:val="false"/>
          <w:caps w:val="false"/>
          <w:smallCaps w:val="false"/>
          <w:sz w:val="20"/>
        </w:rPr>
        <w:t>TEM 15. EXHIBITS AND FINANCIAL STATEMENT SCHEDULES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 Documents filed as part of report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 Financial Statements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consolidated financial statements of the Company and its subsidiaries are filed as part of this Form 10-K:</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0"/>
        <w:gridCol w:w="9333"/>
        <w:gridCol w:w="362"/>
      </w:tblGrid>
      <w:tr>
        <w:trPr/>
        <w:tc>
          <w:tcPr>
            <w:tcW w:w="510" w:type="dxa"/>
            <w:tcBorders/>
            <w:vAlign w:val="center"/>
          </w:tcPr>
          <w:p>
            <w:pPr>
              <w:pStyle w:val="TableContents"/>
              <w:bidi w:val="0"/>
              <w:spacing w:before="0" w:after="283"/>
              <w:jc w:val="left"/>
              <w:rPr>
                <w:sz w:val="4"/>
                <w:szCs w:val="4"/>
              </w:rPr>
            </w:pPr>
            <w:r>
              <w:rPr>
                <w:sz w:val="4"/>
                <w:szCs w:val="4"/>
              </w:rPr>
            </w:r>
          </w:p>
        </w:tc>
        <w:tc>
          <w:tcPr>
            <w:tcW w:w="933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510" w:type="dxa"/>
            <w:tcBorders/>
            <w:vAlign w:val="center"/>
          </w:tcPr>
          <w:p>
            <w:pPr>
              <w:pStyle w:val="TableContents"/>
              <w:bidi w:val="0"/>
              <w:spacing w:before="0" w:after="283"/>
              <w:jc w:val="left"/>
              <w:rPr>
                <w:sz w:val="4"/>
                <w:szCs w:val="4"/>
              </w:rPr>
            </w:pPr>
            <w:r>
              <w:rPr>
                <w:sz w:val="4"/>
                <w:szCs w:val="4"/>
              </w:rPr>
            </w:r>
          </w:p>
        </w:tc>
        <w:tc>
          <w:tcPr>
            <w:tcW w:w="9333" w:type="dxa"/>
            <w:tcBorders/>
            <w:vAlign w:val="center"/>
          </w:tcPr>
          <w:p>
            <w:pPr>
              <w:pStyle w:val="TableContents"/>
              <w:bidi w:val="0"/>
              <w:spacing w:before="0" w:after="283"/>
              <w:jc w:val="left"/>
              <w:rPr>
                <w:sz w:val="4"/>
                <w:szCs w:val="4"/>
              </w:rPr>
            </w:pPr>
            <w:r>
              <w:rPr>
                <w:sz w:val="4"/>
                <w:szCs w:val="4"/>
              </w:rPr>
            </w:r>
          </w:p>
        </w:tc>
        <w:tc>
          <w:tcPr>
            <w:tcW w:w="362"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10" w:type="dxa"/>
            <w:tcBorders/>
            <w:shd w:fill="CCEEFF" w:val="clear"/>
            <w:vAlign w:val="center"/>
          </w:tcPr>
          <w:p>
            <w:pPr>
              <w:pStyle w:val="TableContents"/>
              <w:bidi w:val="0"/>
              <w:spacing w:lineRule="auto" w:line="259" w:before="0" w:after="283"/>
              <w:jc w:val="left"/>
              <w:rPr/>
            </w:pPr>
            <w:hyperlink w:anchor="Report_of_Independent_Registered_Public">
              <w:r>
                <w:rPr>
                  <w:rStyle w:val="InternetLink"/>
                  <w:rFonts w:ascii="Times New Roman;serif" w:hAnsi="Times New Roman;serif"/>
                  <w:b w:val="false"/>
                  <w:i w:val="false"/>
                  <w:caps w:val="false"/>
                  <w:smallCaps w:val="false"/>
                  <w:color w:val="0000FF"/>
                  <w:sz w:val="20"/>
                  <w:u w:val="single"/>
                </w:rPr>
                <w:t>(i)</w:t>
              </w:r>
            </w:hyperlink>
          </w:p>
        </w:tc>
        <w:tc>
          <w:tcPr>
            <w:tcW w:w="9333" w:type="dxa"/>
            <w:tcBorders/>
            <w:shd w:fill="CCEEFF" w:val="clear"/>
            <w:vAlign w:val="center"/>
          </w:tcPr>
          <w:p>
            <w:pPr>
              <w:pStyle w:val="TableContents"/>
              <w:bidi w:val="0"/>
              <w:spacing w:lineRule="auto" w:line="259" w:before="0" w:after="283"/>
              <w:jc w:val="left"/>
              <w:rPr/>
            </w:pPr>
            <w:hyperlink w:anchor="Report_of_Independent_Registered_Public">
              <w:r>
                <w:rPr>
                  <w:rStyle w:val="InternetLink"/>
                  <w:rFonts w:ascii="Times New Roman;serif" w:hAnsi="Times New Roman;serif"/>
                  <w:b w:val="false"/>
                  <w:i w:val="false"/>
                  <w:caps w:val="false"/>
                  <w:smallCaps w:val="false"/>
                  <w:strike w:val="false"/>
                  <w:dstrike w:val="false"/>
                  <w:color w:val="0000FF"/>
                  <w:sz w:val="20"/>
                  <w:u w:val="single"/>
                  <w:effect w:val="none"/>
                </w:rPr>
                <w:t>Reports of Independent Registered Public Accounting Firm</w:t>
              </w:r>
            </w:hyperlink>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(PCAOB ID: 49)</w:t>
            </w:r>
          </w:p>
        </w:tc>
        <w:tc>
          <w:tcPr>
            <w:tcW w:w="36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tc>
      </w:tr>
      <w:tr>
        <w:trPr/>
        <w:tc>
          <w:tcPr>
            <w:tcW w:w="510" w:type="dxa"/>
            <w:tcBorders/>
            <w:vAlign w:val="center"/>
          </w:tcPr>
          <w:p>
            <w:pPr>
              <w:pStyle w:val="TableContents"/>
              <w:bidi w:val="0"/>
              <w:spacing w:lineRule="auto" w:line="259" w:before="0" w:after="283"/>
              <w:jc w:val="left"/>
              <w:rPr/>
            </w:pPr>
            <w:hyperlink w:anchor="ConsolidatedBalanceSheet">
              <w:r>
                <w:rPr>
                  <w:rStyle w:val="InternetLink"/>
                  <w:rFonts w:ascii="Times New Roman;serif" w:hAnsi="Times New Roman;serif"/>
                  <w:b w:val="false"/>
                  <w:i w:val="false"/>
                  <w:caps w:val="false"/>
                  <w:smallCaps w:val="false"/>
                  <w:color w:val="0000FF"/>
                  <w:sz w:val="20"/>
                  <w:u w:val="single"/>
                </w:rPr>
                <w:t>(ii)</w:t>
              </w:r>
            </w:hyperlink>
          </w:p>
        </w:tc>
        <w:tc>
          <w:tcPr>
            <w:tcW w:w="9333" w:type="dxa"/>
            <w:tcBorders/>
            <w:vAlign w:val="center"/>
          </w:tcPr>
          <w:p>
            <w:pPr>
              <w:pStyle w:val="TableContents"/>
              <w:bidi w:val="0"/>
              <w:spacing w:lineRule="auto" w:line="259" w:before="0" w:after="283"/>
              <w:jc w:val="left"/>
              <w:rPr/>
            </w:pPr>
            <w:hyperlink w:anchor="ConsolidatedBalanceSheet">
              <w:r>
                <w:rPr>
                  <w:rStyle w:val="InternetLink"/>
                  <w:rFonts w:ascii="Times New Roman;serif" w:hAnsi="Times New Roman;serif"/>
                  <w:b w:val="false"/>
                  <w:i w:val="false"/>
                  <w:caps w:val="false"/>
                  <w:smallCaps w:val="false"/>
                  <w:strike w:val="false"/>
                  <w:dstrike w:val="false"/>
                  <w:color w:val="0000FF"/>
                  <w:sz w:val="20"/>
                  <w:u w:val="single"/>
                  <w:effect w:val="none"/>
                </w:rPr>
                <w:t>Consolidated Balance Sheets as of December 31, 2025 and 2024</w:t>
              </w:r>
            </w:hyperlink>
          </w:p>
        </w:tc>
        <w:tc>
          <w:tcPr>
            <w:tcW w:w="36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tc>
      </w:tr>
      <w:tr>
        <w:trPr/>
        <w:tc>
          <w:tcPr>
            <w:tcW w:w="510" w:type="dxa"/>
            <w:tcBorders/>
            <w:shd w:fill="CCEEFF" w:val="clear"/>
            <w:vAlign w:val="center"/>
          </w:tcPr>
          <w:p>
            <w:pPr>
              <w:pStyle w:val="TableContents"/>
              <w:bidi w:val="0"/>
              <w:spacing w:lineRule="auto" w:line="259" w:before="0" w:after="283"/>
              <w:jc w:val="left"/>
              <w:rPr/>
            </w:pPr>
            <w:hyperlink w:anchor="ConsolidatedStatementOfOperations">
              <w:r>
                <w:rPr>
                  <w:rStyle w:val="InternetLink"/>
                  <w:rFonts w:ascii="Times New Roman;serif" w:hAnsi="Times New Roman;serif"/>
                  <w:b w:val="false"/>
                  <w:i w:val="false"/>
                  <w:caps w:val="false"/>
                  <w:smallCaps w:val="false"/>
                  <w:strike w:val="false"/>
                  <w:dstrike w:val="false"/>
                  <w:color w:val="0000FF"/>
                  <w:sz w:val="20"/>
                  <w:u w:val="single"/>
                  <w:effect w:val="none"/>
                </w:rPr>
                <w:t>(iii)</w:t>
              </w:r>
            </w:hyperlink>
          </w:p>
        </w:tc>
        <w:tc>
          <w:tcPr>
            <w:tcW w:w="9333" w:type="dxa"/>
            <w:tcBorders/>
            <w:shd w:fill="CCEEFF" w:val="clear"/>
            <w:vAlign w:val="center"/>
          </w:tcPr>
          <w:p>
            <w:pPr>
              <w:pStyle w:val="TableContents"/>
              <w:bidi w:val="0"/>
              <w:spacing w:lineRule="auto" w:line="259" w:before="0" w:after="283"/>
              <w:jc w:val="left"/>
              <w:rPr/>
            </w:pPr>
            <w:hyperlink w:anchor="ConsolidatedStatementOfOperation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Operations for the years ended December 31, 2025, 2024, and 2023</w:t>
              </w:r>
            </w:hyperlink>
          </w:p>
        </w:tc>
        <w:tc>
          <w:tcPr>
            <w:tcW w:w="36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tc>
      </w:tr>
      <w:tr>
        <w:trPr/>
        <w:tc>
          <w:tcPr>
            <w:tcW w:w="510" w:type="dxa"/>
            <w:tcBorders/>
            <w:vAlign w:val="center"/>
          </w:tcPr>
          <w:p>
            <w:pPr>
              <w:pStyle w:val="TableContents"/>
              <w:bidi w:val="0"/>
              <w:spacing w:lineRule="auto" w:line="259" w:before="0" w:after="283"/>
              <w:jc w:val="left"/>
              <w:rPr/>
            </w:pPr>
            <w:hyperlink w:anchor="ConsolidatedStatementOfComprehensiveInco">
              <w:r>
                <w:rPr>
                  <w:rStyle w:val="InternetLink"/>
                  <w:rFonts w:ascii="Times New Roman;serif" w:hAnsi="Times New Roman;serif"/>
                  <w:b w:val="false"/>
                  <w:i w:val="false"/>
                  <w:caps w:val="false"/>
                  <w:smallCaps w:val="false"/>
                  <w:strike w:val="false"/>
                  <w:dstrike w:val="false"/>
                  <w:color w:val="0000FF"/>
                  <w:sz w:val="20"/>
                  <w:u w:val="single"/>
                  <w:effect w:val="none"/>
                </w:rPr>
                <w:t>(iv)</w:t>
              </w:r>
            </w:hyperlink>
          </w:p>
        </w:tc>
        <w:tc>
          <w:tcPr>
            <w:tcW w:w="9333" w:type="dxa"/>
            <w:tcBorders/>
            <w:vAlign w:val="center"/>
          </w:tcPr>
          <w:p>
            <w:pPr>
              <w:pStyle w:val="TableContents"/>
              <w:bidi w:val="0"/>
              <w:spacing w:lineRule="auto" w:line="259" w:before="0" w:after="283"/>
              <w:jc w:val="left"/>
              <w:rPr/>
            </w:pPr>
            <w:hyperlink w:anchor="ConsolidatedStatementOfComprehensiveInco">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Comprehensive (Loss) Income for the years ended December 31, 2025, 2024, and 2023</w:t>
              </w:r>
            </w:hyperlink>
          </w:p>
        </w:tc>
        <w:tc>
          <w:tcPr>
            <w:tcW w:w="36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r>
      <w:tr>
        <w:trPr/>
        <w:tc>
          <w:tcPr>
            <w:tcW w:w="510" w:type="dxa"/>
            <w:tcBorders/>
            <w:shd w:fill="CCEEFF" w:val="clear"/>
            <w:vAlign w:val="center"/>
          </w:tcPr>
          <w:p>
            <w:pPr>
              <w:pStyle w:val="TableContents"/>
              <w:bidi w:val="0"/>
              <w:spacing w:lineRule="auto" w:line="259" w:before="0" w:after="283"/>
              <w:jc w:val="left"/>
              <w:rPr/>
            </w:pPr>
            <w:hyperlink w:anchor="ConsolidatedStatementOfStockholdersEquit">
              <w:r>
                <w:rPr>
                  <w:rStyle w:val="InternetLink"/>
                  <w:rFonts w:ascii="Times New Roman;serif" w:hAnsi="Times New Roman;serif"/>
                  <w:b w:val="false"/>
                  <w:i w:val="false"/>
                  <w:caps w:val="false"/>
                  <w:smallCaps w:val="false"/>
                  <w:strike w:val="false"/>
                  <w:dstrike w:val="false"/>
                  <w:color w:val="0000FF"/>
                  <w:sz w:val="20"/>
                  <w:u w:val="single"/>
                  <w:effect w:val="none"/>
                </w:rPr>
                <w:t>(v)</w:t>
              </w:r>
            </w:hyperlink>
          </w:p>
        </w:tc>
        <w:tc>
          <w:tcPr>
            <w:tcW w:w="9333" w:type="dxa"/>
            <w:tcBorders/>
            <w:shd w:fill="CCEEFF" w:val="clear"/>
            <w:vAlign w:val="center"/>
          </w:tcPr>
          <w:p>
            <w:pPr>
              <w:pStyle w:val="TableContents"/>
              <w:bidi w:val="0"/>
              <w:spacing w:lineRule="auto" w:line="259" w:before="0" w:after="283"/>
              <w:jc w:val="left"/>
              <w:rPr/>
            </w:pPr>
            <w:hyperlink w:anchor="ConsolidatedStatementOfStockholdersEquit">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Stockholders’ Equity for the years ended December 31, 2025, 2024, and 2023</w:t>
              </w:r>
            </w:hyperlink>
          </w:p>
        </w:tc>
        <w:tc>
          <w:tcPr>
            <w:tcW w:w="36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tc>
      </w:tr>
      <w:tr>
        <w:trPr/>
        <w:tc>
          <w:tcPr>
            <w:tcW w:w="510" w:type="dxa"/>
            <w:tcBorders/>
            <w:vAlign w:val="center"/>
          </w:tcPr>
          <w:p>
            <w:pPr>
              <w:pStyle w:val="TableContents"/>
              <w:bidi w:val="0"/>
              <w:spacing w:lineRule="auto" w:line="259" w:before="0" w:after="283"/>
              <w:jc w:val="left"/>
              <w:rPr/>
            </w:pPr>
            <w:hyperlink w:anchor="ConsolidatedStatementOfCashFlows">
              <w:r>
                <w:rPr>
                  <w:rStyle w:val="InternetLink"/>
                  <w:rFonts w:ascii="Times New Roman;serif" w:hAnsi="Times New Roman;serif"/>
                  <w:b w:val="false"/>
                  <w:i w:val="false"/>
                  <w:caps w:val="false"/>
                  <w:smallCaps w:val="false"/>
                  <w:strike w:val="false"/>
                  <w:dstrike w:val="false"/>
                  <w:color w:val="0000FF"/>
                  <w:sz w:val="20"/>
                  <w:u w:val="single"/>
                  <w:effect w:val="none"/>
                </w:rPr>
                <w:t>(vi)</w:t>
              </w:r>
            </w:hyperlink>
          </w:p>
        </w:tc>
        <w:tc>
          <w:tcPr>
            <w:tcW w:w="9333" w:type="dxa"/>
            <w:tcBorders/>
            <w:vAlign w:val="center"/>
          </w:tcPr>
          <w:p>
            <w:pPr>
              <w:pStyle w:val="TableContents"/>
              <w:bidi w:val="0"/>
              <w:spacing w:lineRule="auto" w:line="259" w:before="0" w:after="283"/>
              <w:jc w:val="left"/>
              <w:rPr/>
            </w:pPr>
            <w:hyperlink w:anchor="ConsolidatedStatementOfCashFlow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Cash Flows for the years ended December 31, 2025, 2024, and 2023</w:t>
              </w:r>
            </w:hyperlink>
          </w:p>
        </w:tc>
        <w:tc>
          <w:tcPr>
            <w:tcW w:w="36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c>
      </w:tr>
      <w:tr>
        <w:trPr/>
        <w:tc>
          <w:tcPr>
            <w:tcW w:w="510" w:type="dxa"/>
            <w:tcBorders/>
            <w:shd w:fill="CCEEFF" w:val="clear"/>
            <w:vAlign w:val="center"/>
          </w:tcPr>
          <w:p>
            <w:pPr>
              <w:pStyle w:val="TableContents"/>
              <w:bidi w:val="0"/>
              <w:spacing w:lineRule="auto" w:line="259" w:before="0" w:after="283"/>
              <w:jc w:val="left"/>
              <w:rPr/>
            </w:pPr>
            <w:hyperlink w:anchor="NotesToFinancialStatement">
              <w:r>
                <w:rPr>
                  <w:rStyle w:val="InternetLink"/>
                  <w:rFonts w:ascii="Times New Roman;serif" w:hAnsi="Times New Roman;serif"/>
                  <w:b w:val="false"/>
                  <w:i w:val="false"/>
                  <w:caps w:val="false"/>
                  <w:smallCaps w:val="false"/>
                  <w:strike w:val="false"/>
                  <w:dstrike w:val="false"/>
                  <w:color w:val="0000FF"/>
                  <w:sz w:val="20"/>
                  <w:u w:val="single"/>
                  <w:effect w:val="none"/>
                </w:rPr>
                <w:t>(vii)</w:t>
              </w:r>
            </w:hyperlink>
            <w:r>
              <w:rPr>
                <w:rFonts w:ascii="Times New Roman;serif" w:hAnsi="Times New Roman;serif"/>
                <w:caps w:val="false"/>
                <w:smallCaps w:val="false"/>
                <w:color w:val="0000FF"/>
                <w:sz w:val="20"/>
              </w:rPr>
              <w:t xml:space="preserve"> </w:t>
            </w:r>
          </w:p>
        </w:tc>
        <w:tc>
          <w:tcPr>
            <w:tcW w:w="9333" w:type="dxa"/>
            <w:tcBorders/>
            <w:shd w:fill="CCEEFF" w:val="clear"/>
            <w:vAlign w:val="center"/>
          </w:tcPr>
          <w:p>
            <w:pPr>
              <w:pStyle w:val="TableContents"/>
              <w:bidi w:val="0"/>
              <w:spacing w:lineRule="auto" w:line="259" w:before="0" w:after="283"/>
              <w:jc w:val="left"/>
              <w:rPr/>
            </w:pPr>
            <w:hyperlink w:anchor="NotesToFinancialStatement">
              <w:r>
                <w:rPr>
                  <w:rStyle w:val="InternetLink"/>
                  <w:rFonts w:ascii="Times New Roman;serif" w:hAnsi="Times New Roman;serif"/>
                  <w:b w:val="false"/>
                  <w:i w:val="false"/>
                  <w:caps w:val="false"/>
                  <w:smallCaps w:val="false"/>
                  <w:strike w:val="false"/>
                  <w:dstrike w:val="false"/>
                  <w:color w:val="0000FF"/>
                  <w:sz w:val="20"/>
                  <w:u w:val="single"/>
                  <w:effect w:val="none"/>
                </w:rPr>
                <w:t>Notes to Consolidated Financial Statements</w:t>
              </w:r>
            </w:hyperlink>
          </w:p>
        </w:tc>
        <w:tc>
          <w:tcPr>
            <w:tcW w:w="36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 Financial Statement Schedules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information required to be disclosed within Schedule II – Valuation and Qualifying Accounts is provided within the Consolidated Financial Statements of the Company filed as part of this Form 10-K.</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 Exhibits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“Exhibit Index” immediately preceding the signature page of this Form 10-K, which is incorporated herein by reference.</w:t>
      </w:r>
    </w:p>
    <w:p>
      <w:pPr>
        <w:pStyle w:val="TextBody"/>
        <w:bidi w:val="0"/>
        <w:spacing w:lineRule="auto" w:line="259"/>
        <w:rPr>
          <w:rFonts w:ascii="Times New Roman;serif" w:hAnsi="Times New Roman;serif"/>
          <w:b/>
          <w:i w:val="false"/>
          <w:caps w:val="false"/>
          <w:smallCaps w:val="false"/>
          <w:sz w:val="20"/>
        </w:rPr>
      </w:pPr>
      <w:bookmarkStart w:id="80" w:name="ITEM16_Form10KSummary"/>
      <w:bookmarkEnd w:id="80"/>
      <w:r>
        <w:rPr>
          <w:rFonts w:ascii="Times New Roman;serif" w:hAnsi="Times New Roman;serif"/>
          <w:b/>
          <w:i w:val="false"/>
          <w:caps w:val="false"/>
          <w:smallCaps w:val="false"/>
          <w:sz w:val="20"/>
        </w:rPr>
        <w:t>ITEM 16. FORM 10-K SUMMARY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6" w:before="0" w:after="160"/>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before="0" w:after="120"/>
        <w:jc w:val="center"/>
        <w:rPr>
          <w:rFonts w:ascii="Times New Roman;serif" w:hAnsi="Times New Roman;serif"/>
          <w:b/>
          <w:i w:val="false"/>
          <w:caps w:val="false"/>
          <w:smallCaps w:val="false"/>
          <w:color w:val="000000"/>
          <w:sz w:val="20"/>
        </w:rPr>
      </w:pPr>
      <w:bookmarkStart w:id="81" w:name="Report_of_Independent_Registered_Prior"/>
      <w:bookmarkStart w:id="82" w:name="Report_of_Independent_Registered_Public"/>
      <w:bookmarkEnd w:id="81"/>
      <w:bookmarkEnd w:id="82"/>
      <w:r>
        <w:rPr>
          <w:rFonts w:ascii="Times New Roman;serif" w:hAnsi="Times New Roman;serif"/>
          <w:b/>
          <w:i w:val="false"/>
          <w:caps w:val="false"/>
          <w:smallCaps w:val="false"/>
          <w:color w:val="000000"/>
          <w:sz w:val="20"/>
        </w:rPr>
        <w:t>Report of Independent Registered Public Accounting Firm</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 the Stockholders and the Board of Directors of Tile Shop Holdings, Inc. and Subsidiaries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Opinion on the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audited the accompanying consolidated balance sheets of Tile Shop Holdings, Inc. and Subsidiaries (the Company) as of December 31, 2025 and 2024, related consolidated statements of operations, comprehensive (loss) income, stockholders’ equity and cash flows, for each of the three years in the period ended December 31, 2025 and the related notes to the consolidated financial statements (collectively,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sz w:val="20"/>
        </w:rPr>
        <w:t>Internal Control — Integrated Framework</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issued by the Committee of Sponsoring Organizations of the Treadway Commission in 2013, and our report dated February 26, 2026 expressed an unqualified opinion on the effectiveness of the Company's internal control over financial reporting.</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Basis for Opinion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Critical Audit Matter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Retail Store Asset Impairment Assessment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discussed in Notes 1, 3 and 6 to the consolidated financial statements, the Company reviews long-lived assets for impairment whenever events or changes in circumstances indicate that the carrying amount of these assets may not be recoverable. The Company evaluates potential impairment indicators at the individual retail store level, which is the lowest level at which cash flows can be identified. When events and circumstances indicate that store assets may be impaired, the Company compares the undiscounted future cash flows estimated to be generated by the retail store, which includes estimates of future store revenue growth rates, to the store’s asset group carrying amount. If the estimated undiscounted future cash flows are less than the carrying value of the store’s asset group, the Company performs an analysis to estimate the fair value of the store’s asset group. An impairment may be recorded when the fair value of the store’s asset group is less than its carrying value. The Company’s long-lived assets consisted of consolidated property, plant and equipment, net of $54.3 million and consolidated operating lease right of use assets of $126.3 million as of December 31, 2025. For the year ended December 31, 2025, the Company recorded an impairment charge of $0.3 million.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identified management’s estimates of future store revenue growth rates included in the undiscounted future cash flows to be generated by the retail stores with impairment indicators as a critical audit matter due to the high degree of subjectivity used by management in developing the estimates. Auditing management’s estimates of future store revenue growth rates, which can be affected by expectations about future consumer spending behaviors, housing market trends and other economic conditions, involved a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high degree of auditor judgment and an increase in the nature and extent of audit effort due to the impact the estimates could have on management’s conclusion.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audit procedures related to management’s estimates of future store revenue growth rates used in the impairment analyses included the following, among others: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0"/>
        </w:rPr>
        <w:t>We obtained an understanding of the relevant controls related to management’s development of undiscounted cash flow forecasts to be used in the impairment analyses and tested such controls for design and operating effectiveness, including controls over management’s development and review of the significant assumptions used in estimating future store revenue growth rates.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0"/>
        </w:rPr>
        <w:t>We tested the Company’s estimates of future store revenue growth rates by comparing them to historical results and current industry and economic trends.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0"/>
        </w:rPr>
        <w:t>We tested the mathematical accuracy of the Company’s cash flow models and tested the underlying data used by management for completeness and accuracy by agreeing it to source data.</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RSM US LLP</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have served as the Company's auditor since 2023.</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Minneapolis, Minnesota</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February 26, 2026</w:t>
      </w:r>
    </w:p>
    <w:p>
      <w:pPr>
        <w:pStyle w:val="TextBody"/>
        <w:bidi w:val="0"/>
        <w:spacing w:lineRule="auto" w:line="256" w:before="0" w:after="160"/>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before="0" w:after="120"/>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Report of Independent Registered Public Accounting Firm</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br/>
        <w:t>‎</w:t>
      </w:r>
      <w:bookmarkStart w:id="83" w:name="_Hlk159935402"/>
      <w:bookmarkEnd w:id="83"/>
      <w:r>
        <w:rPr>
          <w:rFonts w:ascii="Times New Roman;serif" w:hAnsi="Times New Roman;serif"/>
          <w:b w:val="false"/>
          <w:i w:val="false"/>
          <w:caps w:val="false"/>
          <w:smallCaps w:val="false"/>
          <w:color w:val="000000"/>
          <w:sz w:val="20"/>
        </w:rPr>
        <w:t>To the Stockholders and the Board of Directors of 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Opinion on the Internal Control Over Financial Reporting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We have audited Tile Shop Holdings, Inc. And Subsidiaries’ (the Company) internal control over financial reporting as of December 31, 2025, based on criteria established in </w:t>
      </w:r>
      <w:r>
        <w:rPr>
          <w:rFonts w:ascii="Times New Roman;serif" w:hAnsi="Times New Roman;serif"/>
          <w:b w:val="false"/>
          <w:i/>
          <w:color w:val="000000"/>
          <w:sz w:val="20"/>
        </w:rPr>
        <w:t>Internal Control—Integrated Framework</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issued by the Committee of Sponsoring Organizations of the Treadway Commission in 2013.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Control—Integrated Framework</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by the Committee of Sponsoring Organizations of the Treadway Commission in 2013.</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have also audited, in accordance with the standards of the Public Company Accounting Oversight Board (United States) (PCAOB), the consolidated balance sheets as of December 31, 2025 and 2024, and the related consolidated statement of operations, comprehensive (loss) income, stockholders’ equity and cash flows for each of the three years in the period ended December 31, 2025 of the Company and our report dated February 26, 2026 expressed an unqualified opinion.</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Basis for Opinion</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Company’s management is responsible for maintaining effective internal control over financial reporting and for its assessment of the effectiveness of internal control over financial reporting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Definition and Limitations of Internal Control Over Financial Reporting</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hd w:fill="FFFFFF" w:val="clear"/>
        <w:bidi w:val="0"/>
        <w:spacing w:lineRule="auto" w:line="259"/>
        <w:rPr>
          <w:caps w:val="false"/>
          <w:smallCaps w:val="false"/>
          <w:color w:val="000000"/>
        </w:rPr>
      </w:pPr>
      <w:r>
        <w:rPr>
          <w:caps w:val="false"/>
          <w:smallCaps w:val="false"/>
          <w:color w:val="000000"/>
        </w:rPr>
        <w:t> </w:t>
      </w:r>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RSM US LLP</w:t>
      </w:r>
    </w:p>
    <w:p>
      <w:pPr>
        <w:pStyle w:val="TextBody"/>
        <w:shd w:fill="FFFFFF" w:val="clear"/>
        <w:bidi w:val="0"/>
        <w:spacing w:lineRule="auto" w:line="259"/>
        <w:rPr>
          <w:caps w:val="false"/>
          <w:smallCaps w:val="false"/>
          <w:color w:val="000000"/>
        </w:rPr>
      </w:pPr>
      <w:r>
        <w:rPr>
          <w:caps w:val="false"/>
          <w:smallCaps w:val="false"/>
          <w:color w:val="000000"/>
        </w:rPr>
        <w:t> </w:t>
      </w:r>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Minneapolis, Minnesota</w:t>
      </w:r>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February 26, 2026</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xml:space="preserve">Consolidated </w:t>
      </w:r>
      <w:bookmarkStart w:id="84" w:name="ConsolidatedBalanceSheet"/>
      <w:bookmarkEnd w:id="84"/>
      <w:r>
        <w:rPr>
          <w:rFonts w:ascii="Times New Roman;serif" w:hAnsi="Times New Roman;serif"/>
          <w:b w:val="false"/>
          <w:i w:val="false"/>
          <w:caps w:val="false"/>
          <w:smallCaps w:val="false"/>
          <w:sz w:val="20"/>
        </w:rPr>
        <w:t>Balance Sheets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2025 and 2024</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(dollars in thousands, except per share data)</w:t>
      </w:r>
    </w:p>
    <w:tbl>
      <w:tblPr>
        <w:tblW w:w="10205" w:type="dxa"/>
        <w:jc w:val="left"/>
        <w:tblInd w:w="0" w:type="dxa"/>
        <w:tblLayout w:type="fixed"/>
        <w:tblCellMar>
          <w:top w:w="0" w:type="dxa"/>
          <w:left w:w="0" w:type="dxa"/>
          <w:bottom w:w="0" w:type="dxa"/>
          <w:right w:w="0" w:type="dxa"/>
        </w:tblCellMar>
      </w:tblPr>
      <w:tblGrid>
        <w:gridCol w:w="7546"/>
        <w:gridCol w:w="109"/>
        <w:gridCol w:w="236"/>
        <w:gridCol w:w="960"/>
        <w:gridCol w:w="109"/>
        <w:gridCol w:w="235"/>
        <w:gridCol w:w="1010"/>
      </w:tblGrid>
      <w:tr>
        <w:trPr/>
        <w:tc>
          <w:tcPr>
            <w:tcW w:w="7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7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7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December 31,</w:t>
            </w:r>
          </w:p>
        </w:tc>
      </w:tr>
      <w:tr>
        <w:trPr/>
        <w:tc>
          <w:tcPr>
            <w:tcW w:w="7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r>
      <w:tr>
        <w:trPr/>
        <w:tc>
          <w:tcPr>
            <w:tcW w:w="754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5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754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6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20,957</w:t>
            </w:r>
          </w:p>
        </w:tc>
      </w:tr>
      <w:tr>
        <w:trPr/>
        <w:tc>
          <w:tcPr>
            <w:tcW w:w="754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3,461</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3,085</w:t>
            </w:r>
          </w:p>
        </w:tc>
      </w:tr>
      <w:tr>
        <w:trPr/>
        <w:tc>
          <w:tcPr>
            <w:tcW w:w="754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96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89,399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86,267</w:t>
            </w:r>
          </w:p>
        </w:tc>
      </w:tr>
      <w:tr>
        <w:trPr/>
        <w:tc>
          <w:tcPr>
            <w:tcW w:w="754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receivable</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1,161</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850</w:t>
            </w:r>
          </w:p>
        </w:tc>
      </w:tr>
      <w:tr>
        <w:trPr/>
        <w:tc>
          <w:tcPr>
            <w:tcW w:w="75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current assets,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10"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8,663</w:t>
            </w:r>
          </w:p>
        </w:tc>
      </w:tr>
      <w:tr>
        <w:trPr/>
        <w:tc>
          <w:tcPr>
            <w:tcW w:w="75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113,002</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119,822</w:t>
            </w:r>
          </w:p>
        </w:tc>
      </w:tr>
      <w:tr>
        <w:trPr/>
        <w:tc>
          <w:tcPr>
            <w:tcW w:w="75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plant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96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54,316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59,733</w:t>
            </w:r>
          </w:p>
        </w:tc>
      </w:tr>
      <w:tr>
        <w:trPr/>
        <w:tc>
          <w:tcPr>
            <w:tcW w:w="75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Right of use asset</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126,261</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132,861</w:t>
            </w:r>
          </w:p>
        </w:tc>
      </w:tr>
      <w:tr>
        <w:trPr/>
        <w:tc>
          <w:tcPr>
            <w:tcW w:w="75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tax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96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4,890</w:t>
            </w:r>
          </w:p>
        </w:tc>
      </w:tr>
      <w:tr>
        <w:trPr/>
        <w:tc>
          <w:tcPr>
            <w:tcW w:w="75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1,592</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0"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2,297</w:t>
            </w:r>
          </w:p>
        </w:tc>
      </w:tr>
      <w:tr>
        <w:trPr/>
        <w:tc>
          <w:tcPr>
            <w:tcW w:w="754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301,725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319,603</w:t>
            </w:r>
          </w:p>
        </w:tc>
      </w:tr>
      <w:tr>
        <w:trPr/>
        <w:tc>
          <w:tcPr>
            <w:tcW w:w="7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6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54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Liabilities and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96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before="0" w:after="283"/>
              <w:jc w:val="left"/>
              <w:rPr>
                <w:sz w:val="4"/>
                <w:szCs w:val="4"/>
              </w:rPr>
            </w:pPr>
            <w:r>
              <w:rPr>
                <w:sz w:val="4"/>
                <w:szCs w:val="4"/>
              </w:rPr>
            </w:r>
          </w:p>
        </w:tc>
      </w:tr>
      <w:tr>
        <w:trPr/>
        <w:tc>
          <w:tcPr>
            <w:tcW w:w="75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754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6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25,326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23,808</w:t>
            </w:r>
          </w:p>
        </w:tc>
      </w:tr>
      <w:tr>
        <w:trPr/>
        <w:tc>
          <w:tcPr>
            <w:tcW w:w="754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payable</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c>
      </w:tr>
      <w:tr>
        <w:trPr/>
        <w:tc>
          <w:tcPr>
            <w:tcW w:w="754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portion of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96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28,880</w:t>
            </w:r>
          </w:p>
        </w:tc>
      </w:tr>
      <w:tr>
        <w:trPr/>
        <w:tc>
          <w:tcPr>
            <w:tcW w:w="754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23,920</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0"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25,644</w:t>
            </w:r>
          </w:p>
        </w:tc>
      </w:tr>
      <w:tr>
        <w:trPr/>
        <w:tc>
          <w:tcPr>
            <w:tcW w:w="75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79,207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78,394</w:t>
            </w:r>
          </w:p>
        </w:tc>
      </w:tr>
      <w:tr>
        <w:trPr/>
        <w:tc>
          <w:tcPr>
            <w:tcW w:w="75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Long-term debt, net</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25,000</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75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Long-term lease liability,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96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104,963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113,700</w:t>
            </w:r>
          </w:p>
        </w:tc>
      </w:tr>
      <w:tr>
        <w:trPr/>
        <w:tc>
          <w:tcPr>
            <w:tcW w:w="75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5,316</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0"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4,597</w:t>
            </w:r>
          </w:p>
        </w:tc>
      </w:tr>
      <w:tr>
        <w:trPr/>
        <w:tc>
          <w:tcPr>
            <w:tcW w:w="754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214,486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196,691</w:t>
            </w:r>
          </w:p>
        </w:tc>
      </w:tr>
      <w:tr>
        <w:trPr/>
        <w:tc>
          <w:tcPr>
            <w:tcW w:w="7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54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96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before="0" w:after="283"/>
              <w:jc w:val="left"/>
              <w:rPr>
                <w:sz w:val="4"/>
                <w:szCs w:val="4"/>
              </w:rPr>
            </w:pPr>
            <w:r>
              <w:rPr>
                <w:sz w:val="4"/>
                <w:szCs w:val="4"/>
              </w:rPr>
            </w:r>
          </w:p>
        </w:tc>
      </w:tr>
      <w:tr>
        <w:trPr/>
        <w:tc>
          <w:tcPr>
            <w:tcW w:w="754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Common stock, par value: $0.0001; authorized: 100,000,000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issued and outstanding: 39,821,741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44,657,898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respectively</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754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Preferred stock, par value: $0.0001; authorized: 10,000,000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issued and outstanding: 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96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75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98,517</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129,696</w:t>
            </w:r>
          </w:p>
        </w:tc>
      </w:tr>
      <w:tr>
        <w:trPr/>
        <w:tc>
          <w:tcPr>
            <w:tcW w:w="75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Accumulated deficit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960"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(6,788)</w:t>
            </w:r>
          </w:p>
        </w:tc>
      </w:tr>
      <w:tr>
        <w:trPr/>
        <w:tc>
          <w:tcPr>
            <w:tcW w:w="754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87,239</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122,912</w:t>
            </w:r>
          </w:p>
        </w:tc>
      </w:tr>
      <w:tr>
        <w:trPr/>
        <w:tc>
          <w:tcPr>
            <w:tcW w:w="754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Liabilities and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301,725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319,603</w:t>
            </w:r>
          </w:p>
        </w:tc>
      </w:tr>
      <w:tr>
        <w:trPr/>
        <w:tc>
          <w:tcPr>
            <w:tcW w:w="7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6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1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Consolidated State</w:t>
      </w:r>
      <w:bookmarkStart w:id="85" w:name="ConsolidatedStatementOfOperations"/>
      <w:bookmarkEnd w:id="85"/>
      <w:r>
        <w:rPr>
          <w:rFonts w:ascii="Times New Roman;serif" w:hAnsi="Times New Roman;serif"/>
          <w:b w:val="false"/>
          <w:i w:val="false"/>
          <w:caps w:val="false"/>
          <w:smallCaps w:val="false"/>
          <w:sz w:val="20"/>
        </w:rPr>
        <w:t>ments of Operations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years ended December 31, 2025, 2024 and 2023</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(dollars in thousands, except per share data)</w:t>
      </w:r>
    </w:p>
    <w:tbl>
      <w:tblPr>
        <w:tblW w:w="8065" w:type="dxa"/>
        <w:jc w:val="left"/>
        <w:tblInd w:w="0" w:type="dxa"/>
        <w:tblLayout w:type="fixed"/>
        <w:tblCellMar>
          <w:top w:w="0" w:type="dxa"/>
          <w:left w:w="0" w:type="dxa"/>
          <w:bottom w:w="0" w:type="dxa"/>
          <w:right w:w="0" w:type="dxa"/>
        </w:tblCellMar>
      </w:tblPr>
      <w:tblGrid>
        <w:gridCol w:w="3736"/>
        <w:gridCol w:w="109"/>
        <w:gridCol w:w="211"/>
        <w:gridCol w:w="1108"/>
        <w:gridCol w:w="109"/>
        <w:gridCol w:w="211"/>
        <w:gridCol w:w="1108"/>
        <w:gridCol w:w="109"/>
        <w:gridCol w:w="211"/>
        <w:gridCol w:w="1153"/>
      </w:tblGrid>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364"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336,820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347,071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377,146</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121,800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119,197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134,085</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215,020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227,874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243,061</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220,834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224,357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226,903</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16,158</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(2,164)</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13,994</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(3,923)</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(loss)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10,071</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per common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3" w:type="dxa"/>
            <w:tcBorders/>
            <w:shd w:fill="CCEEFF" w:val="cle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0.23</w:t>
            </w:r>
          </w:p>
        </w:tc>
      </w:tr>
      <w:tr>
        <w:trPr/>
        <w:tc>
          <w:tcPr>
            <w:tcW w:w="37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0.23</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average shares outstanding: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3" w:type="dxa"/>
            <w:tcBorders/>
            <w:shd w:fill="CCEEFF" w:val="cle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43,697,270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43,714,567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43,424,089</w:t>
            </w:r>
          </w:p>
        </w:tc>
      </w:tr>
      <w:tr>
        <w:trPr/>
        <w:tc>
          <w:tcPr>
            <w:tcW w:w="37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43,697,270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43,851,653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43,620,790</w:t>
            </w:r>
          </w:p>
        </w:tc>
      </w:tr>
    </w:tbl>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Consolidated Statements of Co</w:t>
      </w:r>
      <w:bookmarkStart w:id="86" w:name="ConsolidatedStatementOfComprehensiveInco"/>
      <w:bookmarkEnd w:id="86"/>
      <w:r>
        <w:rPr>
          <w:rFonts w:ascii="Times New Roman;serif" w:hAnsi="Times New Roman;serif"/>
          <w:b w:val="false"/>
          <w:i w:val="false"/>
          <w:caps w:val="false"/>
          <w:smallCaps w:val="false"/>
          <w:sz w:val="20"/>
        </w:rPr>
        <w:t xml:space="preserve">mprehensive (Loss) Income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years ended December 31, 2025, 2024 and 2023</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(dollars in thousands)</w:t>
      </w:r>
    </w:p>
    <w:p>
      <w:pPr>
        <w:pStyle w:val="TextBody"/>
        <w:bidi w:val="0"/>
        <w:spacing w:lineRule="auto" w:line="259"/>
        <w:jc w:val="center"/>
        <w:rPr>
          <w:caps w:val="false"/>
          <w:smallCaps w:val="false"/>
        </w:rPr>
      </w:pPr>
      <w:r>
        <w:rPr>
          <w:caps w:val="false"/>
          <w:smallCaps w:val="false"/>
        </w:rPr>
        <w:t> </w:t>
      </w:r>
    </w:p>
    <w:tbl>
      <w:tblPr>
        <w:tblW w:w="6058" w:type="dxa"/>
        <w:jc w:val="left"/>
        <w:tblInd w:w="0" w:type="dxa"/>
        <w:tblLayout w:type="fixed"/>
        <w:tblCellMar>
          <w:top w:w="0" w:type="dxa"/>
          <w:left w:w="0" w:type="dxa"/>
          <w:bottom w:w="0" w:type="dxa"/>
          <w:right w:w="0" w:type="dxa"/>
        </w:tblCellMar>
      </w:tblPr>
      <w:tblGrid>
        <w:gridCol w:w="2971"/>
        <w:gridCol w:w="109"/>
        <w:gridCol w:w="211"/>
        <w:gridCol w:w="691"/>
        <w:gridCol w:w="109"/>
        <w:gridCol w:w="211"/>
        <w:gridCol w:w="643"/>
        <w:gridCol w:w="109"/>
        <w:gridCol w:w="211"/>
        <w:gridCol w:w="793"/>
      </w:tblGrid>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854"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r>
      <w:tr>
        <w:trPr/>
        <w:tc>
          <w:tcPr>
            <w:tcW w:w="29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10,071</w:t>
            </w:r>
          </w:p>
        </w:tc>
      </w:tr>
      <w:tr>
        <w:trPr/>
        <w:tc>
          <w:tcPr>
            <w:tcW w:w="29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r>
      <w:tr>
        <w:trPr/>
        <w:tc>
          <w:tcPr>
            <w:tcW w:w="29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comprehensive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r>
      <w:tr>
        <w:trPr/>
        <w:tc>
          <w:tcPr>
            <w:tcW w:w="297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10,054</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Consolidated Statements of S</w:t>
      </w:r>
      <w:bookmarkStart w:id="87" w:name="ConsolidatedStatementOfStockholdersEquit"/>
      <w:bookmarkEnd w:id="87"/>
      <w:r>
        <w:rPr>
          <w:rFonts w:ascii="Times New Roman;serif" w:hAnsi="Times New Roman;serif"/>
          <w:b w:val="false"/>
          <w:i w:val="false"/>
          <w:caps w:val="false"/>
          <w:smallCaps w:val="false"/>
          <w:sz w:val="20"/>
        </w:rPr>
        <w:t>tockholders’ Equity</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(dollars in thousands)</w:t>
      </w:r>
    </w:p>
    <w:tbl>
      <w:tblPr>
        <w:tblW w:w="10205" w:type="dxa"/>
        <w:jc w:val="left"/>
        <w:tblInd w:w="0" w:type="dxa"/>
        <w:tblLayout w:type="fixed"/>
        <w:tblCellMar>
          <w:top w:w="0" w:type="dxa"/>
          <w:left w:w="0" w:type="dxa"/>
          <w:bottom w:w="0" w:type="dxa"/>
          <w:right w:w="0" w:type="dxa"/>
        </w:tblCellMar>
      </w:tblPr>
      <w:tblGrid>
        <w:gridCol w:w="3003"/>
        <w:gridCol w:w="109"/>
        <w:gridCol w:w="1108"/>
        <w:gridCol w:w="109"/>
        <w:gridCol w:w="288"/>
        <w:gridCol w:w="388"/>
        <w:gridCol w:w="109"/>
        <w:gridCol w:w="211"/>
        <w:gridCol w:w="853"/>
        <w:gridCol w:w="109"/>
        <w:gridCol w:w="255"/>
        <w:gridCol w:w="908"/>
        <w:gridCol w:w="109"/>
        <w:gridCol w:w="502"/>
        <w:gridCol w:w="924"/>
        <w:gridCol w:w="109"/>
        <w:gridCol w:w="211"/>
        <w:gridCol w:w="900"/>
      </w:tblGrid>
      <w:tr>
        <w:trPr/>
        <w:tc>
          <w:tcPr>
            <w:tcW w:w="3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3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3003" w:type="dxa"/>
            <w:tcBorders/>
            <w:vAlign w:val="center"/>
          </w:tcPr>
          <w:p>
            <w:pPr>
              <w:pStyle w:val="TableContents"/>
              <w:bidi w:val="0"/>
              <w:spacing w:before="0" w:after="283"/>
              <w:jc w:val="left"/>
              <w:rPr>
                <w:sz w:val="4"/>
                <w:szCs w:val="4"/>
              </w:rPr>
            </w:pPr>
            <w:r>
              <w:rPr>
                <w:sz w:val="4"/>
                <w:szCs w:val="4"/>
              </w:rPr>
            </w:r>
          </w:p>
        </w:tc>
        <w:tc>
          <w:tcPr>
            <w:tcW w:w="2002" w:type="dxa"/>
            <w:gridSpan w:val="5"/>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3003"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Shares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Additional</w:t>
              <w:br/>
              <w:t>‎paid-in</w:t>
              <w:br/>
              <w:t>‎capital</w:t>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Accumulated other</w:t>
              <w:br/>
              <w:t>‎comprehensive</w:t>
              <w:br/>
              <w:t>‎(loss) income</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w:t>
            </w:r>
          </w:p>
        </w:tc>
      </w:tr>
      <w:tr>
        <w:trPr/>
        <w:tc>
          <w:tcPr>
            <w:tcW w:w="300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Balance at January 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44,377,445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127,997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24"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108,769</w:t>
            </w:r>
          </w:p>
        </w:tc>
      </w:tr>
      <w:tr>
        <w:trPr/>
        <w:tc>
          <w:tcPr>
            <w:tcW w:w="30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Issuance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611,154</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0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Issuance of common stock upon exercise of options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30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Cancellation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(372,645)</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0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1,392</w:t>
            </w:r>
          </w:p>
        </w:tc>
      </w:tr>
      <w:tr>
        <w:trPr/>
        <w:tc>
          <w:tcPr>
            <w:tcW w:w="30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Tax withholdings related to net share settlements of stock 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(106,965)</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(532)</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(532)</w:t>
            </w:r>
          </w:p>
        </w:tc>
      </w:tr>
      <w:tr>
        <w:trPr/>
        <w:tc>
          <w:tcPr>
            <w:tcW w:w="30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currency translation adjustments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0"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r>
      <w:tr>
        <w:trPr/>
        <w:tc>
          <w:tcPr>
            <w:tcW w:w="30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10,071</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4"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0"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10,071</w:t>
            </w:r>
          </w:p>
        </w:tc>
      </w:tr>
      <w:tr>
        <w:trPr/>
        <w:tc>
          <w:tcPr>
            <w:tcW w:w="300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Balance at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44,510,779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128,861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24"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119,687</w:t>
            </w:r>
          </w:p>
        </w:tc>
      </w:tr>
      <w:tr>
        <w:trPr/>
        <w:tc>
          <w:tcPr>
            <w:tcW w:w="30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Issuance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497,893</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0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Cancellation of restricted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(275,689)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0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1,338</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1,338</w:t>
            </w:r>
          </w:p>
        </w:tc>
      </w:tr>
      <w:tr>
        <w:trPr/>
        <w:tc>
          <w:tcPr>
            <w:tcW w:w="30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Tax withholdings related to net share settlements of stock based compensation awards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(75,085)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0"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(503)</w:t>
            </w:r>
          </w:p>
        </w:tc>
      </w:tr>
      <w:tr>
        <w:trPr/>
        <w:tc>
          <w:tcPr>
            <w:tcW w:w="30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w:t>
            </w:r>
          </w:p>
        </w:tc>
      </w:tr>
      <w:tr>
        <w:trPr/>
        <w:tc>
          <w:tcPr>
            <w:tcW w:w="30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8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24"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0"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2,321</w:t>
            </w:r>
          </w:p>
        </w:tc>
      </w:tr>
      <w:tr>
        <w:trPr/>
        <w:tc>
          <w:tcPr>
            <w:tcW w:w="300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44,657,898</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88"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129,696</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8" w:type="dxa"/>
            <w:tcBorders>
              <w:top w:val="single" w:sz="8" w:space="0" w:color="000000"/>
            </w:tcBorders>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(6,788)</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24"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0"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122,912</w:t>
            </w:r>
          </w:p>
        </w:tc>
      </w:tr>
      <w:tr>
        <w:trPr/>
        <w:tc>
          <w:tcPr>
            <w:tcW w:w="30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Issuance of restricted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427,131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0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(4,875,290)</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(32,177)</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(32,177)</w:t>
            </w:r>
          </w:p>
        </w:tc>
      </w:tr>
      <w:tr>
        <w:trPr/>
        <w:tc>
          <w:tcPr>
            <w:tcW w:w="30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Cancellation of restricted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(346,720)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0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1,282</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1,282</w:t>
            </w:r>
          </w:p>
        </w:tc>
      </w:tr>
      <w:tr>
        <w:trPr/>
        <w:tc>
          <w:tcPr>
            <w:tcW w:w="30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Tax withholdings related to net share settlements of stock based compensation awards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(41,278)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0"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(284)</w:t>
            </w:r>
          </w:p>
        </w:tc>
      </w:tr>
      <w:tr>
        <w:trPr/>
        <w:tc>
          <w:tcPr>
            <w:tcW w:w="30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(4,494)</w:t>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4"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0"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(4,494)</w:t>
            </w:r>
          </w:p>
        </w:tc>
      </w:tr>
      <w:tr>
        <w:trPr/>
        <w:tc>
          <w:tcPr>
            <w:tcW w:w="300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Balance at 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39,821,741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8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98,517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2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87,239</w:t>
            </w:r>
          </w:p>
        </w:tc>
      </w:tr>
      <w:tr>
        <w:trPr/>
        <w:tc>
          <w:tcPr>
            <w:tcW w:w="3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38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5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24"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0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Consolidated State</w:t>
      </w:r>
      <w:bookmarkStart w:id="88" w:name="ConsolidatedStatementOfCashFlows"/>
      <w:bookmarkEnd w:id="88"/>
      <w:r>
        <w:rPr>
          <w:rFonts w:ascii="Times New Roman;serif" w:hAnsi="Times New Roman;serif"/>
          <w:b w:val="false"/>
          <w:i w:val="false"/>
          <w:caps w:val="false"/>
          <w:smallCaps w:val="false"/>
          <w:sz w:val="20"/>
        </w:rPr>
        <w:t>ments of Cash Flows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years ended December 31, 2025, 2024 and 2023</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(dollars in thousands)</w:t>
      </w:r>
    </w:p>
    <w:tbl>
      <w:tblPr>
        <w:tblW w:w="10205" w:type="dxa"/>
        <w:jc w:val="left"/>
        <w:tblInd w:w="0" w:type="dxa"/>
        <w:tblLayout w:type="fixed"/>
        <w:tblCellMar>
          <w:top w:w="0" w:type="dxa"/>
          <w:left w:w="0" w:type="dxa"/>
          <w:bottom w:w="0" w:type="dxa"/>
          <w:right w:w="0" w:type="dxa"/>
        </w:tblCellMar>
      </w:tblPr>
      <w:tblGrid>
        <w:gridCol w:w="6834"/>
        <w:gridCol w:w="109"/>
        <w:gridCol w:w="211"/>
        <w:gridCol w:w="788"/>
        <w:gridCol w:w="109"/>
        <w:gridCol w:w="211"/>
        <w:gridCol w:w="788"/>
        <w:gridCol w:w="109"/>
        <w:gridCol w:w="211"/>
        <w:gridCol w:w="835"/>
      </w:tblGrid>
      <w:tr>
        <w:trPr/>
        <w:tc>
          <w:tcPr>
            <w:tcW w:w="6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2" w:type="dxa"/>
            <w:gridSpan w:val="8"/>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years ended,</w:t>
            </w:r>
          </w:p>
        </w:tc>
      </w:tr>
      <w:tr>
        <w:trPr/>
        <w:tc>
          <w:tcPr>
            <w:tcW w:w="6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999"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r>
      <w:tr>
        <w:trPr/>
        <w:tc>
          <w:tcPr>
            <w:tcW w:w="683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3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834"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3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10,071</w:t>
            </w:r>
          </w:p>
        </w:tc>
      </w:tr>
      <w:tr>
        <w:trPr/>
        <w:tc>
          <w:tcPr>
            <w:tcW w:w="68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Adjustments to reconcile net (loss) income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834"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21,229</w:t>
            </w:r>
          </w:p>
        </w:tc>
      </w:tr>
      <w:tr>
        <w:trPr/>
        <w:tc>
          <w:tcPr>
            <w:tcW w:w="6834"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257</w:t>
            </w:r>
          </w:p>
        </w:tc>
      </w:tr>
      <w:tr>
        <w:trPr/>
        <w:tc>
          <w:tcPr>
            <w:tcW w:w="6834"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disposals of property, plant and equipment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tc>
      </w:tr>
      <w:tr>
        <w:trPr/>
        <w:tc>
          <w:tcPr>
            <w:tcW w:w="6834"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1,027</w:t>
            </w:r>
          </w:p>
        </w:tc>
      </w:tr>
      <w:tr>
        <w:trPr/>
        <w:tc>
          <w:tcPr>
            <w:tcW w:w="6834"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Non-cash lease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26,950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25,844</w:t>
            </w:r>
          </w:p>
        </w:tc>
      </w:tr>
      <w:tr>
        <w:trPr/>
        <w:tc>
          <w:tcPr>
            <w:tcW w:w="6834"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1,392</w:t>
            </w:r>
          </w:p>
        </w:tc>
      </w:tr>
      <w:tr>
        <w:trPr/>
        <w:tc>
          <w:tcPr>
            <w:tcW w:w="6834"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1,280</w:t>
            </w:r>
          </w:p>
        </w:tc>
      </w:tr>
      <w:tr>
        <w:trPr/>
        <w:tc>
          <w:tcPr>
            <w:tcW w:w="6834"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834"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Receivables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528</w:t>
            </w:r>
          </w:p>
        </w:tc>
      </w:tr>
      <w:tr>
        <w:trPr/>
        <w:tc>
          <w:tcPr>
            <w:tcW w:w="6834" w:type="dxa"/>
            <w:tcBorders/>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27,272</w:t>
            </w:r>
          </w:p>
        </w:tc>
      </w:tr>
      <w:tr>
        <w:trPr/>
        <w:tc>
          <w:tcPr>
            <w:tcW w:w="6834"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current assets,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3,316</w:t>
            </w:r>
          </w:p>
        </w:tc>
      </w:tr>
      <w:tr>
        <w:trPr/>
        <w:tc>
          <w:tcPr>
            <w:tcW w:w="6834" w:type="dxa"/>
            <w:tcBorders/>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123</w:t>
            </w:r>
          </w:p>
        </w:tc>
      </w:tr>
      <w:tr>
        <w:trPr/>
        <w:tc>
          <w:tcPr>
            <w:tcW w:w="6834"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receivable /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4,861</w:t>
            </w:r>
          </w:p>
        </w:tc>
      </w:tr>
      <w:tr>
        <w:trPr/>
        <w:tc>
          <w:tcPr>
            <w:tcW w:w="6834" w:type="dxa"/>
            <w:tcBorders/>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(31,285)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(30,476)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5"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(35,127)</w:t>
            </w:r>
          </w:p>
        </w:tc>
      </w:tr>
      <w:tr>
        <w:trPr/>
        <w:tc>
          <w:tcPr>
            <w:tcW w:w="6834" w:type="dxa"/>
            <w:tcBorders/>
            <w:shd w:fill="CCEEFF" w:val="clear"/>
            <w:vAlign w:val="center"/>
          </w:tcPr>
          <w:p>
            <w:pPr>
              <w:pStyle w:val="TableContents"/>
              <w:bidi w:val="0"/>
              <w:spacing w:lineRule="auto" w:line="259" w:before="0" w:after="283"/>
              <w:ind w:left="475" w:right="0" w:hanging="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27,107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35"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62,060</w:t>
            </w:r>
          </w:p>
        </w:tc>
      </w:tr>
      <w:tr>
        <w:trPr/>
        <w:tc>
          <w:tcPr>
            <w:tcW w:w="683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834"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Purchases of property, plant and equipment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(14,538)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(15,313)</w:t>
            </w:r>
          </w:p>
        </w:tc>
      </w:tr>
      <w:tr>
        <w:trPr/>
        <w:tc>
          <w:tcPr>
            <w:tcW w:w="6834"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from insurance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6834"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from the sale of property, plant and equipment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5"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tc>
      </w:tr>
      <w:tr>
        <w:trPr/>
        <w:tc>
          <w:tcPr>
            <w:tcW w:w="6834" w:type="dxa"/>
            <w:tcBorders/>
            <w:vAlign w:val="center"/>
          </w:tcPr>
          <w:p>
            <w:pPr>
              <w:pStyle w:val="TableContents"/>
              <w:bidi w:val="0"/>
              <w:spacing w:lineRule="auto" w:line="259" w:before="0" w:after="283"/>
              <w:ind w:left="475" w:right="0" w:hanging="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(9,366)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(14,336)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35" w:type="dxa"/>
            <w:tcBorders>
              <w:top w:val="single" w:sz="8" w:space="0" w:color="000000"/>
            </w:tcBorders>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(15,255)</w:t>
            </w:r>
          </w:p>
        </w:tc>
      </w:tr>
      <w:tr>
        <w:trPr/>
        <w:tc>
          <w:tcPr>
            <w:tcW w:w="6834"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Flows From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before="0" w:after="283"/>
              <w:jc w:val="left"/>
              <w:rPr>
                <w:sz w:val="4"/>
                <w:szCs w:val="4"/>
              </w:rPr>
            </w:pPr>
            <w:r>
              <w:rPr>
                <w:sz w:val="4"/>
                <w:szCs w:val="4"/>
              </w:rPr>
            </w:r>
          </w:p>
        </w:tc>
      </w:tr>
      <w:tr>
        <w:trPr/>
        <w:tc>
          <w:tcPr>
            <w:tcW w:w="6834"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Payments of long-term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(65,400)</w:t>
            </w:r>
          </w:p>
        </w:tc>
      </w:tr>
      <w:tr>
        <w:trPr/>
        <w:tc>
          <w:tcPr>
            <w:tcW w:w="6834"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Advances on line of credit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20,000</w:t>
            </w:r>
          </w:p>
        </w:tc>
      </w:tr>
      <w:tr>
        <w:trPr/>
        <w:tc>
          <w:tcPr>
            <w:tcW w:w="6834"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from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6834"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Repurchases of common stock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(31,979)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6834"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Employee taxes paid for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(532)</w:t>
            </w:r>
          </w:p>
        </w:tc>
      </w:tr>
      <w:tr>
        <w:trPr/>
        <w:tc>
          <w:tcPr>
            <w:tcW w:w="6834" w:type="dxa"/>
            <w:tcBorders/>
            <w:shd w:fill="CCEEFF" w:val="clear"/>
            <w:vAlign w:val="center"/>
          </w:tcPr>
          <w:p>
            <w:pPr>
              <w:pStyle w:val="TableContents"/>
              <w:bidi w:val="0"/>
              <w:spacing w:lineRule="auto" w:line="259" w:before="0" w:after="283"/>
              <w:ind w:left="475" w:right="0" w:hanging="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cash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35"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(45,928)</w:t>
            </w:r>
          </w:p>
        </w:tc>
      </w:tr>
      <w:tr>
        <w:trPr/>
        <w:tc>
          <w:tcPr>
            <w:tcW w:w="683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Effect of exchange rate changes on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5"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tc>
      </w:tr>
      <w:tr>
        <w:trPr/>
        <w:tc>
          <w:tcPr>
            <w:tcW w:w="6834"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change in 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12,337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35"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861</w:t>
            </w:r>
          </w:p>
        </w:tc>
      </w:tr>
      <w:tr>
        <w:trPr/>
        <w:tc>
          <w:tcPr>
            <w:tcW w:w="6834"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20,957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5"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7,759</w:t>
            </w:r>
          </w:p>
        </w:tc>
      </w:tr>
      <w:tr>
        <w:trPr/>
        <w:tc>
          <w:tcPr>
            <w:tcW w:w="6834"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and cash equivalents end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20,957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3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8,620</w:t>
            </w:r>
          </w:p>
        </w:tc>
      </w:tr>
      <w:tr>
        <w:trPr/>
        <w:tc>
          <w:tcPr>
            <w:tcW w:w="6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8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8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3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834"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Supplemental disclosure of cash flow information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before="0" w:after="283"/>
              <w:jc w:val="left"/>
              <w:rPr>
                <w:sz w:val="4"/>
                <w:szCs w:val="4"/>
              </w:rPr>
            </w:pPr>
            <w:r>
              <w:rPr>
                <w:sz w:val="4"/>
                <w:szCs w:val="4"/>
              </w:rPr>
            </w:r>
          </w:p>
        </w:tc>
      </w:tr>
      <w:tr>
        <w:trPr/>
        <w:tc>
          <w:tcPr>
            <w:tcW w:w="6834"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property, plant and equipment included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430</w:t>
            </w:r>
          </w:p>
        </w:tc>
      </w:tr>
      <w:tr>
        <w:trPr/>
        <w:tc>
          <w:tcPr>
            <w:tcW w:w="6834"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for interest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2,082</w:t>
            </w:r>
          </w:p>
        </w:tc>
      </w:tr>
      <w:tr>
        <w:trPr/>
        <w:tc>
          <w:tcPr>
            <w:tcW w:w="6834"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(received) for income taxes, net of refunds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(2,218)</w:t>
            </w:r>
          </w:p>
        </w:tc>
      </w:tr>
    </w:tbl>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jc w:val="center"/>
        <w:rPr>
          <w:rFonts w:ascii="Times New Roman;serif" w:hAnsi="Times New Roman;serif"/>
          <w:b w:val="false"/>
          <w:i w:val="false"/>
          <w:caps w:val="false"/>
          <w:smallCaps w:val="false"/>
          <w:sz w:val="20"/>
        </w:rPr>
      </w:pPr>
      <w:bookmarkStart w:id="89" w:name="_Hlk158804026"/>
      <w:bookmarkEnd w:id="89"/>
      <w:r>
        <w:rPr>
          <w:rFonts w:ascii="Times New Roman;serif" w:hAnsi="Times New Roman;serif"/>
          <w:b w:val="false"/>
          <w:i w:val="false"/>
          <w:caps w:val="false"/>
          <w:smallCaps w:val="false"/>
          <w:sz w:val="20"/>
        </w:rPr>
        <w:t>62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 Summary of Significant Accounting Policies</w:t>
      </w:r>
      <w:bookmarkStart w:id="90" w:name="NotesToFinancialStatement"/>
      <w:bookmarkEnd w:id="90"/>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Nature of Business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Tile Shop, LLC (“The Tile Shop”) was founded in 1985 and Tile Shop Holdings, Inc. (“Holdings,” and together with its wholly owned subsidiaries, including The Tile Shop, the “Company”) was incorporated in Delaware in June 2012. The Company is a specialty retailer of man-made and natural stone tiles, luxury vinyl tiles, setting and maintenance materials, and related accessories in the United States. The Company’s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assortment includes over 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products from around the world. Natural stone products include marble, travertine, granite, quartz, sandstone, slate, and onyx tiles. Man-made products include ceramic, porcelain, glass, cement, wood look, metal and luxury vinyl tile. The majority of the tile products are sold under the Company's proprietary Rush River and Fired Earth brand names. The Company purchases tile products, accessories and tools directly from its network of suppliers. The Company manufactures its own setting and maintenance materials, such as thinset, grout and sealer, under the Superior brand name, as well as works with other suppliers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manufacture private label products. As of December 31, 2025, the Company operated 140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stores in 31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states and the District of Columbia, with an average size of approximately 20,000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square feet.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Delisting and Deregistration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December 3, 2025, the Company held a special meeting of its stockholders (the “Special Meeting”). At the Special Meeting the holders of the Company’s issued and outstanding shares of the Company’s common stock, par value $0.0001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 share (the “common stock”), entitled to vote approved, by a majority of the votes cast at the Special Meeting, an amendment to the Company’s certificate of incorporation, as amended (the “Certificate of Incorporation”) to effect a reverse stock split of the common stock, a ratio not less than 1-for-2,000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not greater than 1-for-4,000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“Reverse Stock Split”), followed immediately by a forward stock split of the common stock at the same ratio, but inverse (the “Forward Stock Split,” and together with the Reverse Stock Split, the “Stock Splits”). The Company’s Board of Directors (the “Board” or “Board of Directors”)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determined to effectuate (i) the Reverse Stock Split at a ratio of 1-for-3,000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(ii) the Forward Stock Split at a ratio of 3,000-for-1 (collectively, the “Stock Split Ratios. At the direction of the Board, on December 15, 2025, the Company filed the certificates of amendment to the Certificate of Incorporation with the Secretary of State of the State of Delaware to effect the Reverse Stock Split at 5:01 p.m., followed immediately by the Forward Stock Split at 5:02 p.m., respectively, on that day.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a result of the Reverse Stock Split, each share of common stock held by a stockholder of record owning immediately prior to the effective time fewer than the minimum number of shares, which, based on the Stock Split ratio chosen by the Board is 3,000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(the “Minimum Number”), was converted into the right to receive $6.60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cash, without interest (the “Cash Payment”), per whole share and such stockholders are no longer stockholders of the Company. Stockholders owning a number of shares of common stock equal to or greater than the Minimum Number immediately prior to the effective time of the Reverse Stock Split (the “Continuing Stockholders”) were not entitled to receive any cash for their fractional share interests resulting from the Reverse Stock Split, if any. The Forward Stock Split, which immediately followed the Reverse Stock Split, reconverted whole shares and fractional share interests held by the Continuing Stockholders back into the same number of shares of the common stock held by such Continuing Stockholders immediately prior to the effective time. As a result of the Forward Stock Split, the total number of shares of common stock held by a Continuing Stockholder did not change as a result of the Reverse Stock Split. Following the completion of the Reverse Stock Split, the Company paid an aggregate of approximately $32.2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to the Cashed-Out Stockholders, including stockholders who held fewer than 3,000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through banks and brokers.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Reverse Stock Split reduced the number of record holders of the Company’s common stock to a number below 300 (i.e., the level at or above which the Company was required to file reports with the Securities and Exchange Commission (the “SEC”)</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under the Securities Exchange Act of 1934, as amended (the “Exchange Act”)). The actions the Company took to suspend, and the events that occurred as a result of such actions that had the effect of suspending, the Company’s reporting obligations under the Exchange Act, including effectuating the Stock Splits, delisting the Company’s common stock from trading on The Nasdaq Stock Market LLC (“Nasdaq”), terminating the registration of the Company’s common stock under Sections 12(b) and 12(g) of the Exchange Act and suspending the Company’s reporting obligations under Section 15(d) of the Exchange Act, are collectively referred to as the “Transaction.” The Stock Splits were undertaken as part of the Company’s plan to give effect to the Transaction.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 result of the Transaction, the Company is no longer subject to the reporting requirements under the Exchange Act or other requirements applicable to a public company, including requirements under the Sarbanes-Oxley Act of 2002 and the listing standards of any national securities exchange. Following the filing of this Annual Report on Form 10-K for the year ended December 31, 2025, therefore, the Company will cease to file annual, quarterly, current, and other reports and documents with the SEC.</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Basis of Presentation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consolidated financial statements of Holdings include the accounts of its wholly owned subsidiaries and variable interest entities for which the Company is the primary beneficiary. All significant intercompany transactions have been eliminated in consolidation.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Use of Estimates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preparation of financial statements in conformity with generally accepted accounting principles in the United States (“GAAP”) requires management to make estimates and assumptions that affect the amounts reported in the consolidated financial statements. The Company’s estimates and judgments are based on historical experience and various other assumptions that it believes are reasonable under the circumstances. The amount of assets and liabilities reported on the Company's balance sheets and the amounts of income and expenses reported for each of the periods presented are affected by estimates and assumptions, which are used for, but not limited to, the accounting for revenue recognition and related reserves for sales returns, useful lives of property, plant and equipment, determining impairment of property, plant and equipment and right of use assets, accounting for leases, valuation of inventory, and income taxes. Actual results may differ from these estimates.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and Cash Equivalents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had cash and cash equivalents of $10.1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$21.0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at December 31, 2025 and 2024, respectively. The Company considers all highly liquid investments with an original maturity date of three months or less when purchased to be cash equivalents. The payments due from banks for debit and credit card transactions are generally received, or settled, within 24 to 48 hours of the transmission date. The Company considers all debit and credit card transactions that settle in less than seven days to be cash and cash equivalents. Amounts due from the banks for these transactions classified as cash and cash equivalents totaled $1.8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$1.9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at December 31, 2025 and 2024, respectively.</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Trade Receivables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Trade receivables are carried at original invoice amount less an estimate made for doubtful accounts. Management determines the allowance for credit losses on a specific identification basis and by leveraging</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information on historical losses, current conditions, and reasonable and supportable forecasts of future conditions</w:t>
      </w:r>
      <w:r>
        <w:rPr>
          <w:rFonts w:ascii="Times New Roman;serif" w:hAnsi="Times New Roman;serif"/>
          <w:b w:val="false"/>
          <w:i w:val="false"/>
          <w:caps w:val="false"/>
          <w:smallCaps w:val="false"/>
          <w:sz w:val="20"/>
        </w:rPr>
        <w:t>. Trade receivables are written off when deemed uncollectible. Recoveries of trade receivables previously written off are recorded when received. The allowance for doubtful accounts was $0.4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December 31, 2025 and 2024, respectively. The Company does not accrue interest on accounts receivable.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Inventories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Company’s inventory consists of manufactured items and purchased merchandise held for resale. Inventories are stated at the lower of cost (determined using the moving average cost method) or net realizable value. The Company capitalizes the cost of inbound freight, duties, and receiving and handling costs to bring purchased materials into its distribution network. The labor and overhead costs incurred in connection with the production process are included in the value of manufactured finished goods.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 were comprised of the following as of December 31:</w:t>
      </w:r>
    </w:p>
    <w:tbl>
      <w:tblPr>
        <w:tblW w:w="3547" w:type="dxa"/>
        <w:jc w:val="left"/>
        <w:tblInd w:w="0" w:type="dxa"/>
        <w:tblLayout w:type="fixed"/>
        <w:tblCellMar>
          <w:top w:w="0" w:type="dxa"/>
          <w:left w:w="0" w:type="dxa"/>
          <w:bottom w:w="0" w:type="dxa"/>
          <w:right w:w="0" w:type="dxa"/>
        </w:tblCellMar>
      </w:tblPr>
      <w:tblGrid>
        <w:gridCol w:w="1366"/>
        <w:gridCol w:w="109"/>
        <w:gridCol w:w="211"/>
        <w:gridCol w:w="748"/>
        <w:gridCol w:w="109"/>
        <w:gridCol w:w="211"/>
        <w:gridCol w:w="793"/>
      </w:tblGrid>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r>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2" w:type="dxa"/>
            <w:gridSpan w:val="5"/>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w:t>
            </w:r>
          </w:p>
        </w:tc>
      </w:tr>
      <w:tr>
        <w:trPr/>
        <w:tc>
          <w:tcPr>
            <w:tcW w:w="1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Finished goods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84,255</w:t>
            </w:r>
          </w:p>
        </w:tc>
      </w:tr>
      <w:tr>
        <w:trPr/>
        <w:tc>
          <w:tcPr>
            <w:tcW w:w="1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Raw materials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1,803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2,012</w:t>
            </w:r>
          </w:p>
        </w:tc>
      </w:tr>
      <w:tr>
        <w:trPr/>
        <w:tc>
          <w:tcPr>
            <w:tcW w:w="1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89,399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86,267</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provides provisions for losses related to shrinkage and other amounts that are otherwise not expected to be fully recoverable. These provisions are calculated based on historical shrinkage, selling price, margin and current business trends. These estimates have calculations that require management to make assumptions based on the current rate of sales, age, salability and profitability of inventory, historical percentages that can be affected by changes in our merchandising mix, customer preferences, rates of sell through and changes in actual shrinkage trends. The provision for losses related to shrinkage and other amounts was $0.7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$1.2</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as of December 31, 2025 and 2024, respectively.</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Income Taxes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records interest and penalties relating to uncertain tax positions in income tax expense. As of December 31, 2025 and 2024, the Company has not recognized any liabilities for uncertain tax positions nor has the Company accrued interest and penalties related to uncertain tax positions.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Revenue Recognition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Revenues are recognized when control of the promised goods or services is transferred to the Company’s customers, in an amount that reflects the consideration received in exchange for those goods or services. The Company recognizes service revenue, which consists primarily of freight charges for home delivery, when the service has been rendered. The Company is required to charge and collect sales and other taxes on sales to the Company's customers and remit these taxes back to government authorities. Total revenues do not include sales tax because the Company is a pass-through conduit for collecting and remitting sales tax. Sales are reduced by an allowance for anticipated sales returns that the Company estimates based on historical returns.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generally requires customers to pay a deposit when purchasing inventory that is not regularly carried at the store location, or not currently in stock. These deposits are included in other current accrued liabilities until the customer takes possession of the merchandise.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Sales Return Reserve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Customers may return purchased items for an exchange or refund. The process to establish a sales return reserve contains uncertainties because it requires management to make assumptions and to apply judgment to estimate future returns and exchanges. The customer may receive a refund or exchange the original product for a replacement of equal or similar quality for a period of two months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from the time of original purchase. Products received back under this policy are reconditioned pursuant to state laws and resold. The Company records a reserve for estimated product returns, based on historical return trends together with current product sales performance.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Cost of Sales and Selling, General and Administrative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primary costs classified in each major expense category 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Sales</w:t>
      </w:r>
    </w:p>
    <w:p>
      <w:pPr>
        <w:pStyle w:val="TextBody"/>
        <w:bidi w:val="0"/>
        <w:spacing w:lineRule="auto" w:line="259"/>
        <w:rPr>
          <w:caps w:val="false"/>
          <w:smallCaps w:val="false"/>
        </w:rPr>
      </w:pPr>
      <w:r>
        <w:rPr>
          <w:caps w:val="false"/>
          <w:smallCaps w:val="false"/>
        </w:rPr>
        <w:t> </w:t>
      </w:r>
    </w:p>
    <w:p>
      <w:pPr>
        <w:pStyle w:val="TextBody"/>
        <w:bidi w:val="0"/>
        <w:spacing w:lineRule="auto" w:line="254"/>
        <w:ind w:left="720" w:right="0" w:hanging="360"/>
        <w:rPr/>
      </w:pPr>
      <w:r>
        <w:rPr>
          <w:caps w:val="false"/>
          <w:smallCaps w:val="false"/>
          <w:color w:val="000000"/>
        </w:rPr>
        <w:t></w:t>
      </w:r>
      <w:r>
        <w:rPr>
          <w:rFonts w:ascii="Times New Roman;serif" w:hAnsi="Times New Roman;serif"/>
          <w:b w:val="false"/>
          <w:i w:val="false"/>
          <w:caps w:val="false"/>
          <w:smallCaps w:val="false"/>
          <w:sz w:val="20"/>
        </w:rPr>
        <w:t>Materials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cost;</w:t>
      </w:r>
    </w:p>
    <w:p>
      <w:pPr>
        <w:pStyle w:val="TextBody"/>
        <w:bidi w:val="0"/>
        <w:spacing w:lineRule="auto" w:line="254"/>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Shipping and transportation expenses to bring products into the Company's distribution centers;</w:t>
      </w:r>
    </w:p>
    <w:p>
      <w:pPr>
        <w:pStyle w:val="TextBody"/>
        <w:bidi w:val="0"/>
        <w:spacing w:lineRule="auto" w:line="254"/>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Customs and duty expenses;</w:t>
      </w:r>
    </w:p>
    <w:p>
      <w:pPr>
        <w:pStyle w:val="TextBody"/>
        <w:bidi w:val="0"/>
        <w:spacing w:lineRule="auto" w:line="254"/>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Customer shipping and handling expenses;</w:t>
      </w:r>
    </w:p>
    <w:p>
      <w:pPr>
        <w:pStyle w:val="TextBody"/>
        <w:bidi w:val="0"/>
        <w:spacing w:lineRule="auto" w:line="254"/>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Physical inventory losses;</w:t>
      </w:r>
    </w:p>
    <w:p>
      <w:pPr>
        <w:pStyle w:val="TextBody"/>
        <w:bidi w:val="0"/>
        <w:spacing w:lineRule="auto" w:line="254"/>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Costs incurred at distribution centers in connection with the receiving process; and</w:t>
      </w:r>
    </w:p>
    <w:p>
      <w:pPr>
        <w:pStyle w:val="TextBody"/>
        <w:bidi w:val="0"/>
        <w:spacing w:lineRule="auto" w:line="254"/>
        <w:ind w:left="720" w:right="0" w:hanging="360"/>
        <w:rPr/>
      </w:pPr>
      <w:r>
        <w:rPr>
          <w:caps w:val="false"/>
          <w:smallCaps w:val="false"/>
        </w:rPr>
        <w:t></w:t>
      </w:r>
      <w:r>
        <w:rPr>
          <w:rFonts w:ascii="Times New Roman;serif" w:hAnsi="Times New Roman;serif"/>
          <w:b w:val="false"/>
          <w:i w:val="false"/>
          <w:caps w:val="false"/>
          <w:smallCaps w:val="false"/>
          <w:color w:val="000000"/>
          <w:sz w:val="20"/>
        </w:rPr>
        <w:t>Labor and overhe</w:t>
      </w:r>
      <w:r>
        <w:rPr>
          <w:rFonts w:ascii="Times New Roman;serif" w:hAnsi="Times New Roman;serif"/>
          <w:b w:val="false"/>
          <w:i w:val="false"/>
          <w:caps w:val="false"/>
          <w:smallCaps w:val="false"/>
          <w:sz w:val="20"/>
        </w:rPr>
        <w:t>ad costs incurred to manufacture inventory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Selling, General &amp; Administrative (sometimes referred to as “SG&amp;A”)</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Expenses</w:t>
      </w:r>
    </w:p>
    <w:p>
      <w:pPr>
        <w:pStyle w:val="TextBody"/>
        <w:bidi w:val="0"/>
        <w:spacing w:lineRule="auto" w:line="259"/>
        <w:rPr>
          <w:caps w:val="false"/>
          <w:smallCaps w:val="false"/>
        </w:rPr>
      </w:pPr>
      <w:r>
        <w:rPr>
          <w:caps w:val="false"/>
          <w:smallCaps w:val="false"/>
        </w:rPr>
        <w:t> </w:t>
      </w:r>
    </w:p>
    <w:p>
      <w:pPr>
        <w:pStyle w:val="TextBody"/>
        <w:bidi w:val="0"/>
        <w:spacing w:lineRule="auto" w:line="254"/>
        <w:ind w:left="720" w:right="0" w:hanging="360"/>
        <w:rPr/>
      </w:pPr>
      <w:r>
        <w:rPr>
          <w:caps w:val="false"/>
          <w:smallCaps w:val="false"/>
          <w:color w:val="000000"/>
        </w:rPr>
        <w:t></w:t>
      </w:r>
      <w:r>
        <w:rPr>
          <w:rFonts w:ascii="Times New Roman;serif" w:hAnsi="Times New Roman;serif"/>
          <w:b w:val="false"/>
          <w:i w:val="false"/>
          <w:caps w:val="false"/>
          <w:smallCaps w:val="false"/>
          <w:sz w:val="20"/>
        </w:rPr>
        <w:t>All c</w:t>
      </w:r>
      <w:r>
        <w:rPr>
          <w:rFonts w:ascii="Times New Roman;serif" w:hAnsi="Times New Roman;serif"/>
          <w:b w:val="false"/>
          <w:i w:val="false"/>
          <w:caps w:val="false"/>
          <w:smallCaps w:val="false"/>
          <w:color w:val="000000"/>
          <w:sz w:val="20"/>
        </w:rPr>
        <w:t>ompensation costs for store, corporate and distribution employees;</w:t>
      </w:r>
    </w:p>
    <w:p>
      <w:pPr>
        <w:pStyle w:val="TextBody"/>
        <w:bidi w:val="0"/>
        <w:spacing w:lineRule="auto" w:line="254"/>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Occupancy, utilities and maintenance costs of store and corporate facilities;</w:t>
      </w:r>
    </w:p>
    <w:p>
      <w:pPr>
        <w:pStyle w:val="TextBody"/>
        <w:bidi w:val="0"/>
        <w:spacing w:lineRule="auto" w:line="254"/>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 xml:space="preserve">Shipping and transportation expenses to move inventory from the Company's distribution centers to the Company's stores; </w:t>
      </w:r>
    </w:p>
    <w:p>
      <w:pPr>
        <w:pStyle w:val="TextBody"/>
        <w:bidi w:val="0"/>
        <w:spacing w:lineRule="auto" w:line="254"/>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Depreciation and amortization; and</w:t>
      </w:r>
    </w:p>
    <w:p>
      <w:pPr>
        <w:pStyle w:val="TextBody"/>
        <w:bidi w:val="0"/>
        <w:spacing w:lineRule="auto" w:line="254"/>
        <w:ind w:left="720" w:right="0" w:hanging="360"/>
        <w:rPr/>
      </w:pPr>
      <w:r>
        <w:rPr>
          <w:caps w:val="false"/>
          <w:smallCaps w:val="false"/>
        </w:rPr>
        <w:t></w:t>
      </w:r>
      <w:r>
        <w:rPr>
          <w:rFonts w:ascii="Times New Roman;serif" w:hAnsi="Times New Roman;serif"/>
          <w:b w:val="false"/>
          <w:i w:val="false"/>
          <w:caps w:val="false"/>
          <w:smallCaps w:val="false"/>
          <w:color w:val="000000"/>
          <w:sz w:val="20"/>
        </w:rPr>
        <w:t>Advertising c</w:t>
      </w:r>
      <w:r>
        <w:rPr>
          <w:rFonts w:ascii="Times New Roman;serif" w:hAnsi="Times New Roman;serif"/>
          <w:b w:val="false"/>
          <w:i w:val="false"/>
          <w:caps w:val="false"/>
          <w:smallCaps w:val="false"/>
          <w:sz w:val="20"/>
        </w:rPr>
        <w:t>osts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to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Stock Based Compensation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recognizes expense for its stock based compensation based on the fair value of the awards on the grant date. The Company may issue incentive awards in the form of stock options, restricted stock awards and other equity awards to employees and non-employee directors. Compensation expense is recognized on a straight-line basis over the requisite service period, net of actual forfeitures. Certain awards are also subject to forfeiture if the Company fails to attain its Adjusted EBITDA or Pretax Return on Capital Employed targets. The Company adjusts the cumulative expense recognized on awards with performance conditions based on a probability of achieving the performance condition. </w:t>
      </w:r>
    </w:p>
    <w:p>
      <w:pPr>
        <w:pStyle w:val="TextBody"/>
        <w:bidi w:val="0"/>
        <w:spacing w:lineRule="auto" w:line="259"/>
        <w:rPr>
          <w:rFonts w:ascii="Times New Roman;serif" w:hAnsi="Times New Roman;serif"/>
          <w:b/>
          <w:i w:val="false"/>
          <w:caps w:val="false"/>
          <w:smallCaps w:val="false"/>
          <w:sz w:val="20"/>
        </w:rPr>
      </w:pPr>
      <w:bookmarkStart w:id="91" w:name="_Hlk158889198"/>
      <w:bookmarkEnd w:id="91"/>
      <w:r>
        <w:rPr>
          <w:rFonts w:ascii="Times New Roman;serif" w:hAnsi="Times New Roman;serif"/>
          <w:b/>
          <w:i w:val="false"/>
          <w:caps w:val="false"/>
          <w:smallCaps w:val="false"/>
          <w:sz w:val="20"/>
        </w:rPr>
        <w:t>Concentration of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Financial instruments that potentially subject the Company to concentrations of credit risk consist principally of cash and cash equivalents and bank deposits. By their nature, all such instruments involve risks, including credit risks of non-performance by counterparties. A substantial portion of the Company's cash and cash equivalents and bank deposits are invested with banks with high investment grade credit ratings.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Supplier Concentration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purchases merchandise inventories from approximately 200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different suppliers worldwide. Significant suppliers are those that account for greater than 10% of the Company’s annual purchases.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year ended December 31, 2025, the Company purchased materials from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significant supplier which represented a total of 12.7% of the Company’s total purchases. As of December 31, 2025, </w:t>
      </w:r>
      <w:r>
        <w:rPr>
          <w:rFonts w:ascii="Times New Roman;serif" w:hAnsi="Times New Roman;serif"/>
          <w:b w:val="false"/>
          <w:i w:val="false"/>
          <w:caps w:val="false"/>
          <w:smallCaps w:val="false"/>
          <w:color w:val="000000"/>
          <w:sz w:val="20"/>
        </w:rPr>
        <w:t>the accounts payable balance due to the significant supplier was $0.7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During the year ended December 31, 2024, the Company purchased materials from one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significant supplier which represented a total of 11.4% of the Company’s total purchases. As of December 31, 2024, the accounts payable balance due to the significant supplier was $0.6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million. </w:t>
      </w:r>
      <w:r>
        <w:rPr>
          <w:rFonts w:ascii="Times New Roman;serif" w:hAnsi="Times New Roman;serif"/>
          <w:b w:val="false"/>
          <w:i w:val="false"/>
          <w:caps w:val="false"/>
          <w:smallCaps w:val="false"/>
          <w:sz w:val="20"/>
        </w:rPr>
        <w:t>During the year ended December 31, 2023, the Company purchased materials from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significant suppliers which represented a total of 25.5% of the Company’s total purchases. As of December 31, 2023, the accounts payable balance due to the significant suppliers was $0.6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w:t>
      </w:r>
      <w:r>
        <w:rPr>
          <w:rFonts w:ascii="Times New Roman;serif" w:hAnsi="Times New Roman;serif"/>
          <w:caps w:val="false"/>
          <w:smallCaps w:val="false"/>
          <w:color w:val="000000"/>
          <w:sz w:val="20"/>
        </w:rPr>
        <w:t xml:space="preserve">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Segments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Company’s operations consist primarily of retail sales of natural stone, man-made and luxury vinyl tiles, setting and maintenance materials, and related accessories in stores located in the United States. The Company’s chief operating decision maker only reviews the consolidated results of the Company and accordingly, the Company has concluded it has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reportable segment.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Advertising Costs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Advertising costs were $8.7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$8.3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$9.1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for the years ended December 31, 2025, 2024 and 2023, respectively, and are included in selling, general and administrative expenses in the consolidated statements of operations. The Company’s advertising consists primarily of digital media, direct marketing, events, traditional print media and mobile advertisements and is expensed at the time the media is distributed.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Pre-opening Costs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Company’s pre-opening costs are those typically associated with the opening of a new store and generally include rent expense, compensation costs and promotional costs. The Company expenses pre-opening costs as incurred which are recorded in selling, general and administrative expenses. </w:t>
      </w:r>
      <w:r>
        <w:rPr>
          <w:rFonts w:ascii="Times New Roman;serif" w:hAnsi="Times New Roman;serif"/>
          <w:b w:val="false"/>
          <w:i w:val="false"/>
          <w:caps w:val="false"/>
          <w:smallCaps w:val="false"/>
          <w:color w:val="000000"/>
          <w:sz w:val="20"/>
        </w:rPr>
        <w:t xml:space="preserve">During both the years ended December 31, 2025 and 2024, </w:t>
      </w:r>
      <w:r>
        <w:rPr>
          <w:rFonts w:ascii="Times New Roman;serif" w:hAnsi="Times New Roman;serif"/>
          <w:b w:val="false"/>
          <w:i w:val="false"/>
          <w:caps w:val="false"/>
          <w:smallCaps w:val="false"/>
          <w:sz w:val="20"/>
        </w:rPr>
        <w:t>the Company did not record any pre-opening costs.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sz w:val="20"/>
        </w:rPr>
        <w:t xml:space="preserve">During the year ended December 31, 2023, </w:t>
      </w:r>
      <w:r>
        <w:rPr>
          <w:rFonts w:ascii="Times New Roman;serif" w:hAnsi="Times New Roman;serif"/>
          <w:b w:val="false"/>
          <w:i w:val="false"/>
          <w:caps w:val="false"/>
          <w:smallCaps w:val="false"/>
          <w:color w:val="000000"/>
          <w:sz w:val="20"/>
        </w:rPr>
        <w:t>the Company recorded pre-opening costs of $0.1</w:t>
      </w:r>
      <w:r>
        <w:rPr>
          <w:rFonts w:ascii="Times New Roman;serif" w:hAnsi="Times New Roman;serif"/>
          <w:caps w:val="false"/>
          <w:smallCaps w:val="false"/>
          <w:color w:val="000000"/>
          <w:sz w:val="20"/>
        </w:rPr>
        <w:t> </w:t>
      </w:r>
      <w:r>
        <w:rPr>
          <w:rFonts w:ascii="Times New Roman;serif" w:hAnsi="Times New Roman;serif"/>
          <w:b w:val="false"/>
          <w:i w:val="false"/>
          <w:caps w:val="false"/>
          <w:smallCaps w:val="false"/>
          <w:color w:val="000000"/>
          <w:sz w:val="20"/>
        </w:rPr>
        <w:t>million.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Property, Plant and Equipment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plant and equipment and leasehold improvements are recorded at cost. Improvements are capitalized while repairs and maintenance costs are charged to selling, general and administrative expenses when incurred. Property, plant and equipment are depreciated or amortized using the straight-line method over each asset’s estimated useful life. Leasehold improvements and fixtures at leased locations are amortized using the straight-line method over the shorter of the lease term or the estimated useful life of the asset. The cost and accumulated depreciation of assets sold or otherwise disposed of are removed from the accounts and any gain or loss thereon is included in other income and expense.</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to Consolidated Financial Statements</w:t>
      </w:r>
    </w:p>
    <w:tbl>
      <w:tblPr>
        <w:tblW w:w="5029" w:type="dxa"/>
        <w:jc w:val="left"/>
        <w:tblInd w:w="0" w:type="dxa"/>
        <w:tblLayout w:type="fixed"/>
        <w:tblCellMar>
          <w:top w:w="0" w:type="dxa"/>
          <w:left w:w="0" w:type="dxa"/>
          <w:bottom w:w="0" w:type="dxa"/>
          <w:right w:w="0" w:type="dxa"/>
        </w:tblCellMar>
      </w:tblPr>
      <w:tblGrid>
        <w:gridCol w:w="3226"/>
        <w:gridCol w:w="109"/>
        <w:gridCol w:w="561"/>
        <w:gridCol w:w="626"/>
        <w:gridCol w:w="507"/>
      </w:tblGrid>
      <w:tr>
        <w:trPr/>
        <w:tc>
          <w:tcPr>
            <w:tcW w:w="3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gridSpan w:val="3"/>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 life (in years)</w:t>
            </w:r>
          </w:p>
        </w:tc>
      </w:tr>
      <w:tr>
        <w:trPr/>
        <w:tc>
          <w:tcPr>
            <w:tcW w:w="3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Buildings and building improvements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c>
          <w:tcPr>
            <w:tcW w:w="50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Leasehold improvements</w:t>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tc>
        <w:tc>
          <w:tcPr>
            <w:tcW w:w="507"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Furniture and fixtures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626" w:type="dxa"/>
            <w:tcBorders/>
            <w:shd w:fill="CCEEFF" w:val="clear"/>
            <w:vAlign w:val="center"/>
          </w:tcPr>
          <w:p>
            <w:pPr>
              <w:pStyle w:val="TableContents"/>
              <w:bidi w:val="0"/>
              <w:spacing w:lineRule="auto" w:line="259" w:before="0" w:after="283"/>
              <w:jc w:val="center"/>
              <w:rPr>
                <w:caps w:val="false"/>
                <w:smallCaps w:val="false"/>
              </w:rPr>
            </w:pPr>
            <w:r>
              <w:rPr>
                <w:caps w:val="false"/>
                <w:smallCaps w:val="false"/>
              </w:rPr>
              <w:t>–</w:t>
            </w:r>
          </w:p>
        </w:tc>
        <w:tc>
          <w:tcPr>
            <w:tcW w:w="50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r>
      <w:tr>
        <w:trPr/>
        <w:tc>
          <w:tcPr>
            <w:tcW w:w="3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Machinery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507"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Computer equipment and software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626" w:type="dxa"/>
            <w:tcBorders/>
            <w:shd w:fill="CCEEFF" w:val="clear"/>
            <w:vAlign w:val="center"/>
          </w:tcPr>
          <w:p>
            <w:pPr>
              <w:pStyle w:val="TableContents"/>
              <w:bidi w:val="0"/>
              <w:spacing w:lineRule="auto" w:line="259" w:before="0" w:after="283"/>
              <w:jc w:val="center"/>
              <w:rPr>
                <w:caps w:val="false"/>
                <w:smallCaps w:val="false"/>
              </w:rPr>
            </w:pPr>
            <w:r>
              <w:rPr>
                <w:caps w:val="false"/>
                <w:smallCaps w:val="false"/>
              </w:rPr>
              <w:t>–</w:t>
            </w:r>
          </w:p>
        </w:tc>
        <w:tc>
          <w:tcPr>
            <w:tcW w:w="50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r>
      <w:tr>
        <w:trPr/>
        <w:tc>
          <w:tcPr>
            <w:tcW w:w="3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Vehicles</w:t>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50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 evaluates potential impairment losses on long-lived assets used in operations at the individual retail store level, which is the lowest level at which cash flows can be identified, when events and circumstances indicate that the assets may be impaired, and the undiscounted cash flows estimated to be generated by those assets are less than the carrying amounts of those assets. If impairment exists and the undiscounted cash flows estimated to be generated by those assets are less than the carrying amount of those assets, an impairment loss is recorded based on the excess of the carrying value of the asset group over its fair value. Fair value is measured using discounted cash flows or independent opinions of value, as appropriate. </w:t>
      </w:r>
      <w:bookmarkStart w:id="92" w:name="_Hlk125033473"/>
      <w:bookmarkEnd w:id="92"/>
      <w:r>
        <w:rPr>
          <w:rFonts w:ascii="Times New Roman;serif" w:hAnsi="Times New Roman;serif"/>
          <w:b w:val="false"/>
          <w:i w:val="false"/>
          <w:caps w:val="false"/>
          <w:smallCaps w:val="false"/>
          <w:sz w:val="20"/>
        </w:rPr>
        <w:t>During the fiscal years ended December 31, 2025, 2024 and 2023, the Company recorded asset impairment charges of $0.3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$0.9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$1.0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respectively, which were classified in selling, general and administrative expenses.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Internal Use Software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capitalizes software development costs incurred during the application development stage related to new software or major enhancements to the functionality of existing software that is developed solely to meet the Company’s internal operational needs and when there are no plans to market the software externally. Costs capitalized include external direct costs of materials and services and internal compensation costs. Any costs during the preliminary project stage or related to training or maintenance are expensed as incurred. Capitalization ceases when the software project is substantially complete and ready for its intended use. The capitalization and ongoing assessment of recoverability of development costs requires judgment by management with respect to certain external factors, including, but not limited to, technological and economic feasibility, and estimated economic life. As of December 31, 2025 and 2024, $1.2</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$1.3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was included in computer equipment and software, respectively. </w:t>
      </w:r>
      <w:bookmarkStart w:id="93" w:name="_Hlk159397373"/>
      <w:bookmarkEnd w:id="93"/>
      <w:r>
        <w:rPr>
          <w:rFonts w:ascii="Times New Roman;serif" w:hAnsi="Times New Roman;serif"/>
          <w:b w:val="false"/>
          <w:i w:val="false"/>
          <w:caps w:val="false"/>
          <w:smallCaps w:val="false"/>
          <w:sz w:val="20"/>
        </w:rPr>
        <w:t>The internal use software costs are amortized over estimated useful lives of three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five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color w:val="000000"/>
          <w:sz w:val="20"/>
        </w:rPr>
        <w:t>There was $0.7</w:t>
      </w:r>
      <w:r>
        <w:rPr>
          <w:rFonts w:ascii="Times New Roman;serif" w:hAnsi="Times New Roman;serif"/>
          <w:caps w:val="false"/>
          <w:smallCaps w:val="false"/>
          <w:color w:val="000000"/>
          <w:sz w:val="20"/>
        </w:rPr>
        <w:t> </w:t>
      </w:r>
      <w:r>
        <w:rPr>
          <w:rFonts w:ascii="Times New Roman;serif" w:hAnsi="Times New Roman;serif"/>
          <w:b w:val="false"/>
          <w:i w:val="false"/>
          <w:caps w:val="false"/>
          <w:smallCaps w:val="false"/>
          <w:color w:val="000000"/>
          <w:sz w:val="20"/>
        </w:rPr>
        <w:t>million, $1.8</w:t>
      </w:r>
      <w:r>
        <w:rPr>
          <w:rFonts w:ascii="Times New Roman;serif" w:hAnsi="Times New Roman;serif"/>
          <w:caps w:val="false"/>
          <w:smallCaps w:val="false"/>
          <w:color w:val="000000"/>
          <w:sz w:val="20"/>
        </w:rPr>
        <w:t> </w:t>
      </w:r>
      <w:r>
        <w:rPr>
          <w:rFonts w:ascii="Times New Roman;serif" w:hAnsi="Times New Roman;serif"/>
          <w:b w:val="false"/>
          <w:i w:val="false"/>
          <w:caps w:val="false"/>
          <w:smallCaps w:val="false"/>
          <w:color w:val="000000"/>
          <w:sz w:val="20"/>
        </w:rPr>
        <w:t>million and $1.6</w:t>
      </w:r>
      <w:r>
        <w:rPr>
          <w:rFonts w:ascii="Times New Roman;serif" w:hAnsi="Times New Roman;serif"/>
          <w:caps w:val="false"/>
          <w:smallCaps w:val="false"/>
          <w:color w:val="000000"/>
          <w:sz w:val="20"/>
        </w:rPr>
        <w:t> </w:t>
      </w:r>
      <w:r>
        <w:rPr>
          <w:rFonts w:ascii="Times New Roman;serif" w:hAnsi="Times New Roman;serif"/>
          <w:b w:val="false"/>
          <w:i w:val="false"/>
          <w:caps w:val="false"/>
          <w:smallCaps w:val="false"/>
          <w:color w:val="000000"/>
          <w:sz w:val="20"/>
        </w:rPr>
        <w:t>million of amortization expense related to capitalized software during the years ended December 31, 2025, 2024 and 2023, respectively.</w:t>
      </w:r>
    </w:p>
    <w:p>
      <w:pPr>
        <w:pStyle w:val="TextBody"/>
        <w:bidi w:val="0"/>
        <w:spacing w:lineRule="auto" w:line="259"/>
        <w:rPr>
          <w:rFonts w:ascii="Times New Roman;serif" w:hAnsi="Times New Roman;serif"/>
          <w:b w:val="false"/>
          <w:i w:val="false"/>
          <w:caps w:val="false"/>
          <w:smallCaps w:val="false"/>
          <w:sz w:val="20"/>
        </w:rPr>
      </w:pPr>
      <w:bookmarkStart w:id="94" w:name="_Hlk189226237"/>
      <w:bookmarkEnd w:id="94"/>
      <w:r>
        <w:rPr>
          <w:rFonts w:ascii="Times New Roman;serif" w:hAnsi="Times New Roman;serif"/>
          <w:b w:val="false"/>
          <w:i w:val="false"/>
          <w:caps w:val="false"/>
          <w:smallCaps w:val="false"/>
          <w:sz w:val="20"/>
        </w:rPr>
        <w:t>The Company licenses software for internal use from third parties. The Company accounts for costs associated with software contracts considered cloud computing arrangements as operating expenses. If a software contract gives the Company the right and it is feasible to take possession of the software, the Company recognizes an asset for the entire contractual cost and recognizes a liability for future payments under the license agreement.</w:t>
      </w:r>
    </w:p>
    <w:p>
      <w:pPr>
        <w:pStyle w:val="TextBody"/>
        <w:bidi w:val="0"/>
        <w:spacing w:lineRule="auto" w:line="259"/>
        <w:ind w:left="0" w:right="144" w:hanging="0"/>
        <w:rPr>
          <w:rFonts w:ascii="Times New Roman;serif" w:hAnsi="Times New Roman;serif"/>
          <w:sz w:val="20"/>
        </w:rPr>
      </w:pPr>
      <w:bookmarkStart w:id="95" w:name="_Hlk189226326"/>
      <w:bookmarkEnd w:id="95"/>
      <w:r>
        <w:rPr>
          <w:rFonts w:ascii="Times New Roman;serif" w:hAnsi="Times New Roman;serif"/>
          <w:b w:val="false"/>
          <w:i w:val="false"/>
          <w:caps w:val="false"/>
          <w:smallCaps w:val="false"/>
          <w:sz w:val="20"/>
        </w:rPr>
        <w:t>The Company has contractual obligations related to software service arrangements with suppliers for fixed or minimum amounts. Future minimum payments at December 31, 2025 for purchase obligations were $2.7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Amounts due under these arrangements in 2026, 2027, and 2028 total $1.2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$0.4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respectively.</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Leases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determines if an arrangement is a lease at inception. Operating leases are included in right of use assets and lease liabilities on the consolidated balance sheets. The right of use assets and lease liabilities are recognized as the present value of the future minimum lease payments over the lease term at commencement date. As most of the leases do not provide an implicit rate, the Company uses its incremental borrowing rate based on the information available at commencement date in determining the present value of future payments. The right of use asset is also adjusted for any lease incentives received pursuant to the lease agreement. The Company’s lease terms may include options to extend or terminate the lease typically at its own discretion. The Company regularly evaluates the renewal options and when such options are reasonably certain of exercise, the Company includes the renewal period in its lease term. The Company does not apply the recognition requirements to short term leases.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lease arrangements contain provisions requiring the Company to restore the leased property to its original condition at the end of the lease. The fair values of these obligations are recorded as liabilities on a discounted basis, which occurs at the time the Company enters into the lease arrangement. In the estimation of fair value, the Company uses assumptions and judgements regarding such factors as the existence of a legal obligation for an asset retirement obligation, estimated amounts and timing of settlements, discount rates and inflation rates. The costs associated with these liabilities are capitalized and depreciated over the lease term and the liabilities are accreted over the same period. Asset retirement obligations attributable to leases with a remaining lease term of 12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to Consolidated Financial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months or less are presented as other accrued liabilities. </w:t>
      </w:r>
      <w:bookmarkStart w:id="96" w:name="_Hlk189227377"/>
      <w:bookmarkEnd w:id="96"/>
      <w:r>
        <w:rPr>
          <w:rFonts w:ascii="Times New Roman;serif" w:hAnsi="Times New Roman;serif"/>
          <w:b w:val="false"/>
          <w:i w:val="false"/>
          <w:caps w:val="false"/>
          <w:smallCaps w:val="false"/>
          <w:sz w:val="20"/>
        </w:rPr>
        <w:t>As of both December 31, 2025 and 2024, asset retirement obligations classified as other accrued liabilities was $0.1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Asset retirement obligations attributable to leases with a remaining lease term of 12 months or more are presented as other long-term liabilities.  As of December 31, 2025 and 2024, asset retirement obligations classified as other long-term liabilities were $4.6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$3.5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respectively.</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Self-Insurance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is self-insured for certain employee health and workers’ compensation claims. The Company estimates a liability for aggregate losses below stop-loss coverage limits based on estimates of the ultimate costs to be incurred to settle known claims and claims not reported as of the balance sheet date. The estimated liability is not discounted and is based on a number of assumptions and factors including historical trends, and economic conditions. As of December 31, 2025 and 2024, an accrual of $0.6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related to estimated employee health claims was included in other accrued liabilities, respectively. As of both December 31, 2025 and 2024, an accrual of $1.4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related to estimated workers’ compensation claims was included in other accrued liabilities.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has standby letters of credit outstanding related to the Company's workers’ compensation and employee health insurance policies. As of both December 31, 2025 and 2024, the standby letters of credit totaled $1.2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Contingencies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is at times subject to various legal actions, claims, and proceedings arising in the ordinary course of business, which may include claims related to general liability, workers’ compensation, product liability, and employment-related matters resulting from its business activities. As with most litigation actions, an estimation of any possible liability cannot always be determined. The Company establishes reserves for specific legal proceedings when it determines that the likelihood of an unfavorable outcome is reasonably probable, and the amount of loss can be reasonably estimated.  If the Company determines the probable estimate is a range of losses, if no point in the range is more probable, the low end of the range is recorded as a liability on the date the loss is considered probable.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New Accounting Pronouncements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Recently Adopted Accounting Pronouncements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December 2023, the Financial Accounting Standards Board (“FASB”) issued Accounting Standards Update (“ASU”) No. 2023-09, </w:t>
      </w:r>
      <w:r>
        <w:rPr>
          <w:rFonts w:ascii="Times New Roman;serif" w:hAnsi="Times New Roman;serif"/>
          <w:b w:val="false"/>
          <w:i/>
          <w:sz w:val="20"/>
        </w:rPr>
        <w:t>Income Taxes (Topic 740): Improvements to Income Tax Disclosures. </w:t>
      </w:r>
      <w:r>
        <w:rPr>
          <w:rFonts w:ascii="Times New Roman;serif" w:hAnsi="Times New Roman;serif"/>
          <w:b w:val="false"/>
          <w:i w:val="false"/>
          <w:caps w:val="false"/>
          <w:smallCaps w:val="false"/>
          <w:sz w:val="20"/>
        </w:rPr>
        <w:t>The amendments in this ASU improve the transparency of income tax disclosures by requiring consistent categories and greater disaggregation of information in the rate reconciliation and income taxes paid disaggregated by jurisdiction. The Company adopted ASU 2023-09 prospectively for the year ended December 31, 2025. The standard did not have a material impact on the Company’s consolidated financial statements. Prior-period disclosures have not been retrospectively adjusted.</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Recently Issued Accounting Pronouncements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November 2024</w:t>
      </w:r>
      <w:r>
        <w:rPr>
          <w:rFonts w:ascii="Times New Roman;serif" w:hAnsi="Times New Roman;serif"/>
          <w:b w:val="false"/>
          <w:i/>
          <w:sz w:val="20"/>
        </w:rPr>
        <w:t>, </w:t>
      </w:r>
      <w:r>
        <w:rPr>
          <w:rFonts w:ascii="Times New Roman;serif" w:hAnsi="Times New Roman;serif"/>
          <w:b w:val="false"/>
          <w:i w:val="false"/>
          <w:caps w:val="false"/>
          <w:smallCaps w:val="false"/>
          <w:sz w:val="20"/>
        </w:rPr>
        <w:t>the FASB issued ASU </w:t>
      </w:r>
      <w:r>
        <w:rPr>
          <w:rFonts w:ascii="Times New Roman;serif" w:hAnsi="Times New Roman;serif"/>
          <w:b w:val="false"/>
          <w:i/>
          <w:sz w:val="20"/>
        </w:rPr>
        <w:t>No.</w:t>
      </w:r>
      <w:r>
        <w:rPr>
          <w:rFonts w:ascii="Times New Roman;serif" w:hAnsi="Times New Roman;serif"/>
          <w:caps w:val="false"/>
          <w:smallCaps w:val="false"/>
          <w:sz w:val="20"/>
        </w:rPr>
        <w:t> </w:t>
      </w:r>
      <w:r>
        <w:rPr>
          <w:rFonts w:ascii="Times New Roman;serif" w:hAnsi="Times New Roman;serif"/>
          <w:b w:val="false"/>
          <w:i/>
          <w:sz w:val="20"/>
        </w:rPr>
        <w:t>2024</w:t>
      </w:r>
      <w:r>
        <w:rPr>
          <w:rFonts w:ascii="Times New Roman;serif" w:hAnsi="Times New Roman;serif"/>
          <w:b w:val="false"/>
          <w:i w:val="false"/>
          <w:caps w:val="false"/>
          <w:smallCaps w:val="false"/>
          <w:sz w:val="20"/>
        </w:rPr>
        <w:t>-</w:t>
      </w:r>
      <w:r>
        <w:rPr>
          <w:rFonts w:ascii="Times New Roman;serif" w:hAnsi="Times New Roman;serif"/>
          <w:b w:val="false"/>
          <w:i/>
          <w:sz w:val="20"/>
        </w:rPr>
        <w:t>03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Income Statement – Reporting Comprehensive Income – Expense Disaggregation Disclosures (Subtopic </w:t>
      </w:r>
      <w:r>
        <w:rPr>
          <w:rFonts w:ascii="Times New Roman;serif" w:hAnsi="Times New Roman;serif"/>
          <w:b w:val="false"/>
          <w:i/>
          <w:sz w:val="20"/>
        </w:rPr>
        <w:t>220</w:t>
      </w:r>
      <w:r>
        <w:rPr>
          <w:rFonts w:ascii="Times New Roman;serif" w:hAnsi="Times New Roman;serif"/>
          <w:b w:val="false"/>
          <w:i w:val="false"/>
          <w:caps w:val="false"/>
          <w:smallCaps w:val="false"/>
          <w:sz w:val="20"/>
        </w:rPr>
        <w:t>-</w:t>
      </w:r>
      <w:r>
        <w:rPr>
          <w:rFonts w:ascii="Times New Roman;serif" w:hAnsi="Times New Roman;serif"/>
          <w:b w:val="false"/>
          <w:i/>
          <w:sz w:val="20"/>
        </w:rPr>
        <w:t>40</w:t>
      </w:r>
      <w:r>
        <w:rPr>
          <w:rFonts w:ascii="Times New Roman;serif" w:hAnsi="Times New Roman;serif"/>
          <w:b w:val="false"/>
          <w:i w:val="false"/>
          <w:caps w:val="false"/>
          <w:smallCaps w:val="false"/>
          <w:sz w:val="20"/>
        </w:rPr>
        <w:t>): Disaggregation of Income Statement Expenses.” This ASU requires public business entities to disclose, for interim and annual reporting periods, additional information about certain income statement expense categories. The requirements are effective for fiscal years beginning after December 15, 2026</w:t>
      </w:r>
      <w:r>
        <w:rPr>
          <w:rFonts w:ascii="Times New Roman;serif" w:hAnsi="Times New Roman;serif"/>
          <w:b w:val="false"/>
          <w:i/>
          <w:sz w:val="20"/>
        </w:rPr>
        <w:t>, </w:t>
      </w:r>
      <w:r>
        <w:rPr>
          <w:rFonts w:ascii="Times New Roman;serif" w:hAnsi="Times New Roman;serif"/>
          <w:b w:val="false"/>
          <w:i w:val="false"/>
          <w:caps w:val="false"/>
          <w:smallCaps w:val="false"/>
          <w:sz w:val="20"/>
        </w:rPr>
        <w:t>and for interim periods beginning after December 15, 2027. ASU 2024-03 applies only to public business entities. Because the Company is no longer a public business entity following its voluntary delisting and deregistration, the guidance is not applicable to the Company.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2: Revenues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Revenues are recognized when control of the promised goods or services is transferred to the Company’s customers, in an amount that reflects the consideration received in exchange for those goods or services. Sales taxes are excluded from revenue.</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revenues disaggregated by product category:</w:t>
      </w:r>
    </w:p>
    <w:tbl>
      <w:tblPr>
        <w:tblW w:w="5345" w:type="dxa"/>
        <w:jc w:val="left"/>
        <w:tblInd w:w="0" w:type="dxa"/>
        <w:tblLayout w:type="fixed"/>
        <w:tblCellMar>
          <w:top w:w="0" w:type="dxa"/>
          <w:left w:w="0" w:type="dxa"/>
          <w:bottom w:w="0" w:type="dxa"/>
          <w:right w:w="0" w:type="dxa"/>
        </w:tblCellMar>
      </w:tblPr>
      <w:tblGrid>
        <w:gridCol w:w="2911"/>
        <w:gridCol w:w="109"/>
        <w:gridCol w:w="735"/>
        <w:gridCol w:w="333"/>
        <w:gridCol w:w="134"/>
        <w:gridCol w:w="735"/>
        <w:gridCol w:w="388"/>
      </w:tblGrid>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5" w:type="dxa"/>
            <w:gridSpan w:val="5"/>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Years Ended December 31,</w:t>
            </w:r>
          </w:p>
        </w:tc>
      </w:tr>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33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38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Man-made tiles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tc>
        <w:tc>
          <w:tcPr>
            <w:tcW w:w="33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tc>
        <w:tc>
          <w:tcPr>
            <w:tcW w:w="38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Natural stone tiles</w:t>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c>
          <w:tcPr>
            <w:tcW w:w="388"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Setting and maintenance materials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tc>
        <w:tc>
          <w:tcPr>
            <w:tcW w:w="388" w:type="dxa"/>
            <w:tcBorders/>
            <w:shd w:fill="CCEEFF" w:val="cle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Accessories</w:t>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c>
          <w:tcPr>
            <w:tcW w:w="388"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Delivery service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tc>
        <w:tc>
          <w:tcPr>
            <w:tcW w:w="33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4" w:type="dxa"/>
            <w:tcBorders/>
            <w:vAlign w:val="center"/>
          </w:tcPr>
          <w:p>
            <w:pPr>
              <w:pStyle w:val="TableContents"/>
              <w:bidi w:val="0"/>
              <w:spacing w:before="0" w:after="283"/>
              <w:jc w:val="left"/>
              <w:rPr>
                <w:sz w:val="4"/>
                <w:szCs w:val="4"/>
              </w:rPr>
            </w:pPr>
            <w:r>
              <w:rPr>
                <w:sz w:val="4"/>
                <w:szCs w:val="4"/>
              </w:rPr>
            </w:r>
          </w:p>
        </w:tc>
        <w:tc>
          <w:tcPr>
            <w:tcW w:w="73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tc>
        <w:tc>
          <w:tcPr>
            <w:tcW w:w="38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generates revenues by selling tile products, setting and maintenance materials, accessories, and delivery services to its customers through its store locations and online. The timing of revenue recognition coincides with the transfer of control of goods and services ordered by the customer, which falls into one of three categories described below:</w:t>
      </w:r>
    </w:p>
    <w:p>
      <w:pPr>
        <w:pStyle w:val="TextBody"/>
        <w:bidi w:val="0"/>
        <w:spacing w:lineRule="auto" w:line="256"/>
        <w:ind w:left="720" w:right="0" w:hanging="360"/>
        <w:rPr/>
      </w:pPr>
      <w:r>
        <w:rPr>
          <w:caps w:val="false"/>
          <w:smallCaps w:val="false"/>
          <w:color w:val="000000"/>
        </w:rPr>
        <w:t></w:t>
      </w:r>
      <w:r>
        <w:rPr>
          <w:rFonts w:ascii="Times New Roman;serif" w:hAnsi="Times New Roman;serif"/>
          <w:b w:val="false"/>
          <w:i w:val="false"/>
          <w:caps w:val="false"/>
          <w:smallCaps w:val="false"/>
          <w:sz w:val="20"/>
        </w:rPr>
        <w:t>Revenue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recognized when an order is placed – If a customer places an order in a store and the contents of their order are availabl</w:t>
      </w:r>
      <w:r>
        <w:rPr>
          <w:rFonts w:ascii="Times New Roman;serif" w:hAnsi="Times New Roman;serif"/>
          <w:b w:val="false"/>
          <w:i w:val="false"/>
          <w:caps w:val="false"/>
          <w:smallCaps w:val="false"/>
          <w:color w:val="000000"/>
          <w:sz w:val="20"/>
        </w:rPr>
        <w:t>e, the Company recognizes revenue concurrent with the exchange of goods for consideration from the customer.</w:t>
      </w:r>
    </w:p>
    <w:p>
      <w:pPr>
        <w:pStyle w:val="TextBody"/>
        <w:bidi w:val="0"/>
        <w:spacing w:lineRule="auto" w:line="256"/>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0"/>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pStyle w:val="TextBody"/>
        <w:bidi w:val="0"/>
        <w:spacing w:lineRule="auto" w:line="256"/>
        <w:ind w:left="720" w:right="0" w:hanging="360"/>
        <w:rPr/>
      </w:pPr>
      <w:r>
        <w:rPr>
          <w:caps w:val="false"/>
          <w:smallCaps w:val="false"/>
        </w:rPr>
        <w:t></w:t>
      </w:r>
      <w:r>
        <w:rPr>
          <w:rFonts w:ascii="Times New Roman;serif" w:hAnsi="Times New Roman;serif"/>
          <w:b w:val="false"/>
          <w:i w:val="false"/>
          <w:caps w:val="false"/>
          <w:smallCaps w:val="false"/>
          <w:color w:val="000000"/>
          <w:sz w:val="20"/>
        </w:rPr>
        <w:t>Revenue recognized when an order is delivered – If a customer places an order in a store and requests delivery of their order, the Company prepare</w:t>
      </w:r>
      <w:r>
        <w:rPr>
          <w:rFonts w:ascii="Times New Roman;serif" w:hAnsi="Times New Roman;serif"/>
          <w:b w:val="false"/>
          <w:i w:val="false"/>
          <w:caps w:val="false"/>
          <w:smallCaps w:val="false"/>
          <w:sz w:val="20"/>
        </w:rPr>
        <w:t>s the contents of their order, initiates the delivery service, and recognizes revenue once the contents of the customer’s order are delivered.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determines the transaction price of its contracts based on the pricing established at the time a customer places an order. The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w:t>
      </w:r>
      <w:bookmarkStart w:id="97" w:name="_Hlk125032985"/>
      <w:bookmarkEnd w:id="97"/>
      <w:r>
        <w:rPr>
          <w:rFonts w:ascii="Times New Roman;serif" w:hAnsi="Times New Roman;serif"/>
          <w:b w:val="false"/>
          <w:i w:val="false"/>
          <w:caps w:val="false"/>
          <w:smallCaps w:val="false"/>
          <w:sz w:val="20"/>
        </w:rPr>
        <w:t>The customer deposit balance was $9.9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$10.9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December 31, 2025 and 2024, respectively. Revenues recognized during the year ended December 31, 2025 that were included in the customer deposit balance as of the beginning of the period were $10.1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w:t>
      </w:r>
    </w:p>
    <w:p>
      <w:pPr>
        <w:pStyle w:val="TextBody"/>
        <w:bidi w:val="0"/>
        <w:spacing w:lineRule="auto" w:line="259"/>
        <w:rPr>
          <w:rFonts w:ascii="Times New Roman;serif" w:hAnsi="Times New Roman;serif"/>
          <w:sz w:val="20"/>
        </w:rPr>
      </w:pPr>
      <w:bookmarkStart w:id="98" w:name="_Hlk125033177"/>
      <w:bookmarkEnd w:id="98"/>
      <w:r>
        <w:rPr>
          <w:rFonts w:ascii="Times New Roman;serif" w:hAnsi="Times New Roman;serif"/>
          <w:b w:val="false"/>
          <w:i w:val="false"/>
          <w:caps w:val="false"/>
          <w:smallCaps w:val="false"/>
          <w:sz w:val="20"/>
        </w:rPr>
        <w:t>The Company extends financing to qualified professional customers who apply for credit. The accounts receivable balance was $3.5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$3.1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as of December 31, 2025 and 2024, respectively. Customers who qualify for an account receive 30-day payment terms.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Customers may return purchased items for an exchange or refund. The Company records a reserve for estimated product returns based on the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 as of December 31, 2025 and 2024 are as follows:</w:t>
      </w:r>
    </w:p>
    <w:tbl>
      <w:tblPr>
        <w:tblW w:w="5379" w:type="dxa"/>
        <w:jc w:val="left"/>
        <w:tblInd w:w="0" w:type="dxa"/>
        <w:tblLayout w:type="fixed"/>
        <w:tblCellMar>
          <w:top w:w="0" w:type="dxa"/>
          <w:left w:w="0" w:type="dxa"/>
          <w:bottom w:w="0" w:type="dxa"/>
          <w:right w:w="0" w:type="dxa"/>
        </w:tblCellMar>
      </w:tblPr>
      <w:tblGrid>
        <w:gridCol w:w="2686"/>
        <w:gridCol w:w="109"/>
        <w:gridCol w:w="300"/>
        <w:gridCol w:w="915"/>
        <w:gridCol w:w="109"/>
        <w:gridCol w:w="295"/>
        <w:gridCol w:w="965"/>
      </w:tblGrid>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gridSpan w:val="5"/>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accrued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6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2,886</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1,074</w:t>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5"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956</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Sales returns reserve,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6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1,930</w:t>
            </w:r>
          </w:p>
        </w:tc>
      </w:tr>
    </w:tbl>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3: Property, Plant and Equipment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plant and equipment consisted of the following at December 31:</w:t>
      </w:r>
    </w:p>
    <w:tbl>
      <w:tblPr>
        <w:tblW w:w="5893" w:type="dxa"/>
        <w:jc w:val="left"/>
        <w:tblInd w:w="0" w:type="dxa"/>
        <w:tblLayout w:type="fixed"/>
        <w:tblCellMar>
          <w:top w:w="0" w:type="dxa"/>
          <w:left w:w="0" w:type="dxa"/>
          <w:bottom w:w="0" w:type="dxa"/>
          <w:right w:w="0" w:type="dxa"/>
        </w:tblCellMar>
      </w:tblPr>
      <w:tblGrid>
        <w:gridCol w:w="3406"/>
        <w:gridCol w:w="109"/>
        <w:gridCol w:w="211"/>
        <w:gridCol w:w="901"/>
        <w:gridCol w:w="109"/>
        <w:gridCol w:w="211"/>
        <w:gridCol w:w="946"/>
      </w:tblGrid>
      <w:tr>
        <w:trPr/>
        <w:tc>
          <w:tcPr>
            <w:tcW w:w="3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r>
      <w:tr>
        <w:trPr/>
        <w:tc>
          <w:tcPr>
            <w:tcW w:w="3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8" w:type="dxa"/>
            <w:gridSpan w:val="5"/>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w:t>
            </w:r>
          </w:p>
        </w:tc>
      </w:tr>
      <w:tr>
        <w:trPr/>
        <w:tc>
          <w:tcPr>
            <w:tcW w:w="34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904</w:t>
            </w:r>
          </w:p>
        </w:tc>
      </w:tr>
      <w:tr>
        <w:trPr/>
        <w:tc>
          <w:tcPr>
            <w:tcW w:w="3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Building and building improvements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25,199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25,979</w:t>
            </w:r>
          </w:p>
        </w:tc>
      </w:tr>
      <w:tr>
        <w:trPr/>
        <w:tc>
          <w:tcPr>
            <w:tcW w:w="34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Leasehold improvements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110,972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107,316</w:t>
            </w:r>
          </w:p>
        </w:tc>
      </w:tr>
      <w:tr>
        <w:trPr/>
        <w:tc>
          <w:tcPr>
            <w:tcW w:w="3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Furniture and fixtures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152,678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151,750</w:t>
            </w:r>
          </w:p>
        </w:tc>
      </w:tr>
      <w:tr>
        <w:trPr/>
        <w:tc>
          <w:tcPr>
            <w:tcW w:w="34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Machinery and equipment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32,585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33,417</w:t>
            </w:r>
          </w:p>
        </w:tc>
      </w:tr>
      <w:tr>
        <w:trPr/>
        <w:tc>
          <w:tcPr>
            <w:tcW w:w="3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Computer equipment and software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53,016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51,553</w:t>
            </w:r>
          </w:p>
        </w:tc>
      </w:tr>
      <w:tr>
        <w:trPr/>
        <w:tc>
          <w:tcPr>
            <w:tcW w:w="34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Vehicles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8,481</w:t>
            </w:r>
          </w:p>
        </w:tc>
      </w:tr>
      <w:tr>
        <w:trPr/>
        <w:tc>
          <w:tcPr>
            <w:tcW w:w="3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Construction in progress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1,921</w:t>
            </w:r>
          </w:p>
        </w:tc>
      </w:tr>
      <w:tr>
        <w:trPr/>
        <w:tc>
          <w:tcPr>
            <w:tcW w:w="34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property, plant and equipment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384,356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381,321</w:t>
            </w:r>
          </w:p>
        </w:tc>
      </w:tr>
      <w:tr>
        <w:trPr/>
        <w:tc>
          <w:tcPr>
            <w:tcW w:w="3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(330,040)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(321,588)</w:t>
            </w:r>
          </w:p>
        </w:tc>
      </w:tr>
      <w:tr>
        <w:trPr/>
        <w:tc>
          <w:tcPr>
            <w:tcW w:w="34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property, plant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54,316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59,733</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Depreciation expense on property and equipment, including financing leases, was $16.0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$17.8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$21.2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the years ended December 31, 2025, 2024 and 2023, respectively. Property, plant and equipment is measured at fair value when an impairment is recognized and the related assets are written down to fair value. During the years ended December 31, 2025, 2024 and 2023, the Company recorded asset impairment charges of $0.3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$0.9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respectively.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4: Other Accrued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accrued liabilities consisted of the following at December 31:</w:t>
      </w:r>
    </w:p>
    <w:tbl>
      <w:tblPr>
        <w:tblW w:w="4702" w:type="dxa"/>
        <w:jc w:val="left"/>
        <w:tblInd w:w="0" w:type="dxa"/>
        <w:tblLayout w:type="fixed"/>
        <w:tblCellMar>
          <w:top w:w="0" w:type="dxa"/>
          <w:left w:w="0" w:type="dxa"/>
          <w:bottom w:w="0" w:type="dxa"/>
          <w:right w:w="0" w:type="dxa"/>
        </w:tblCellMar>
      </w:tblPr>
      <w:tblGrid>
        <w:gridCol w:w="2521"/>
        <w:gridCol w:w="109"/>
        <w:gridCol w:w="211"/>
        <w:gridCol w:w="748"/>
        <w:gridCol w:w="109"/>
        <w:gridCol w:w="211"/>
        <w:gridCol w:w="793"/>
      </w:tblGrid>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2" w:type="dxa"/>
            <w:gridSpan w:val="5"/>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 deposits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10,882</w:t>
            </w:r>
          </w:p>
        </w:tc>
      </w:tr>
      <w:tr>
        <w:trPr/>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returns reserve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2,886</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wages and salaries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4,585</w:t>
            </w:r>
          </w:p>
        </w:tc>
      </w:tr>
      <w:tr>
        <w:trPr/>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Payroll and sales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2,107</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5,184</w:t>
            </w:r>
          </w:p>
        </w:tc>
      </w:tr>
      <w:tr>
        <w:trPr/>
        <w:tc>
          <w:tcPr>
            <w:tcW w:w="252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23,920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25,644</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bookmarkStart w:id="99" w:name="_Hlk157515934"/>
      <w:bookmarkStart w:id="100" w:name="_Hlk125978231"/>
      <w:bookmarkEnd w:id="99"/>
      <w:bookmarkEnd w:id="100"/>
      <w:r>
        <w:rPr>
          <w:rFonts w:ascii="Times New Roman;serif" w:hAnsi="Times New Roman;serif"/>
          <w:b/>
          <w:i w:val="false"/>
          <w:caps w:val="false"/>
          <w:smallCaps w:val="false"/>
          <w:sz w:val="20"/>
        </w:rPr>
        <w:t>Note 5: Long-term Debt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Long-term debt, net of debt issuance costs, consisted of the following at December 31:</w:t>
      </w:r>
    </w:p>
    <w:tbl>
      <w:tblPr>
        <w:tblW w:w="5049" w:type="dxa"/>
        <w:jc w:val="left"/>
        <w:tblInd w:w="0" w:type="dxa"/>
        <w:tblLayout w:type="fixed"/>
        <w:tblCellMar>
          <w:top w:w="0" w:type="dxa"/>
          <w:left w:w="0" w:type="dxa"/>
          <w:bottom w:w="0" w:type="dxa"/>
          <w:right w:w="0" w:type="dxa"/>
        </w:tblCellMar>
      </w:tblPr>
      <w:tblGrid>
        <w:gridCol w:w="3301"/>
        <w:gridCol w:w="109"/>
        <w:gridCol w:w="211"/>
        <w:gridCol w:w="748"/>
        <w:gridCol w:w="109"/>
        <w:gridCol w:w="243"/>
        <w:gridCol w:w="328"/>
      </w:tblGrid>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gridSpan w:val="5"/>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33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debt obligations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2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3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3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obligations, net of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2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bookmarkStart w:id="101" w:name="_Hlk157516125"/>
      <w:bookmarkStart w:id="102" w:name="_Hlk125978296"/>
      <w:bookmarkEnd w:id="101"/>
      <w:bookmarkEnd w:id="102"/>
      <w:r>
        <w:rPr>
          <w:rFonts w:ascii="Times New Roman;serif" w:hAnsi="Times New Roman;serif"/>
          <w:b w:val="false"/>
          <w:i w:val="false"/>
          <w:caps w:val="false"/>
          <w:smallCaps w:val="false"/>
          <w:sz w:val="20"/>
        </w:rPr>
        <w:t>On September 30, 2022, Holdings and its operating subsidiary, The Tile Shop, and certain subsidiaries of each entered into a Credit Agreement with JPMorgan Chase Bank, N.A. and the lenders party thereto, including Fifth Third Bank (as amended, the “Credit Agreement”).  The Credit Agreement provides the Company with a senior credit facility consisting of a $75.0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Tile Shop’s Rent Adjusted Leverage Ratio (as defined in the Credit Agreement). Borrowings outstanding as of December 31, 2025 were SOFR-based interest rate loans. The SOFR-Based interest rate was 5.72% on December 31, 2025.</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to Consolidated Financial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Credit Agreement is secured by virtually all of the assets of the Company, including, but not limited to, inventory, accounts receivable, equipment and general intangibles. The Credit Agreement contains customary events of default, conditions to borrowing and restrictive covenants, including restrictions on the Company’s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1.00 and a Rent Adjusted Leverage Ratio (as defined in the Credit Agreement) of no greater than 3.50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to 1.00. The Company was not in compliance with the covenants as of December 31, 2025 but received a waiver by the lenders January 28, 2026, which put the Company in compliance with the covenants.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had $25.0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of borrowings outstanding on its line of credit as of December 31, 2025. </w:t>
      </w:r>
      <w:r>
        <w:rPr>
          <w:rFonts w:ascii="Times New Roman;serif" w:hAnsi="Times New Roman;serif"/>
          <w:b w:val="false"/>
          <w:i w:val="false"/>
          <w:caps w:val="false"/>
          <w:smallCaps w:val="false"/>
          <w:color w:val="000000"/>
          <w:sz w:val="20"/>
        </w:rPr>
        <w:t>The Company has standby letters of credit outstanding related to its workers’ compensation and medical insurance policies.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As of December 31, 2025, standby letters of credit totaled $1.2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December 31, 2025, there was $48.8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available for borrowing on the revolving line of credit, which may be used for maintaining the Company’s existing stores, purchasing additional merchandise inventory, and general corporate purposes.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6: Leases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leases its retail stores, certain distribution space, and office space. Leases generally have a term of ten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fifteen years, and contain renewal options. Assets acquired under operating leases are included in the Company’s right of use assets in the accompanying consolidated balance sheet. The depreciable life of assets and leasehold improvements is limited by the expected lease term.</w:t>
      </w:r>
    </w:p>
    <w:tbl>
      <w:tblPr>
        <w:tblW w:w="8669" w:type="dxa"/>
        <w:jc w:val="left"/>
        <w:tblInd w:w="0" w:type="dxa"/>
        <w:tblLayout w:type="fixed"/>
        <w:tblCellMar>
          <w:top w:w="0" w:type="dxa"/>
          <w:left w:w="0" w:type="dxa"/>
          <w:bottom w:w="0" w:type="dxa"/>
          <w:right w:w="0" w:type="dxa"/>
        </w:tblCellMar>
      </w:tblPr>
      <w:tblGrid>
        <w:gridCol w:w="1891"/>
        <w:gridCol w:w="2731"/>
        <w:gridCol w:w="109"/>
        <w:gridCol w:w="211"/>
        <w:gridCol w:w="1681"/>
        <w:gridCol w:w="109"/>
        <w:gridCol w:w="211"/>
        <w:gridCol w:w="1726"/>
      </w:tblGrid>
      <w:tr>
        <w:trPr/>
        <w:tc>
          <w:tcPr>
            <w:tcW w:w="189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Leases (in thousands)</w:t>
            </w:r>
          </w:p>
        </w:tc>
        <w:tc>
          <w:tcPr>
            <w:tcW w:w="273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Classification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December 31, 2024</w:t>
            </w:r>
          </w:p>
        </w:tc>
      </w:tr>
      <w:tr>
        <w:trPr/>
        <w:tc>
          <w:tcPr>
            <w:tcW w:w="189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w:t>
            </w:r>
          </w:p>
        </w:tc>
        <w:tc>
          <w:tcPr>
            <w:tcW w:w="27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assets</w:t>
            </w:r>
          </w:p>
        </w:tc>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Right of use asset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8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126,261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132,861</w:t>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leased assets</w:t>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126,261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132,861</w:t>
            </w:r>
          </w:p>
        </w:tc>
      </w:tr>
      <w:tr>
        <w:trPr/>
        <w:tc>
          <w:tcPr>
            <w:tcW w:w="1891" w:type="dxa"/>
            <w:tcBorders/>
            <w:shd w:fill="CCEEFF" w:val="clear"/>
            <w:vAlign w:val="center"/>
          </w:tcPr>
          <w:p>
            <w:pPr>
              <w:pStyle w:val="TableContents"/>
              <w:bidi w:val="0"/>
              <w:spacing w:before="0" w:after="283"/>
              <w:jc w:val="left"/>
              <w:rPr>
                <w:sz w:val="4"/>
                <w:szCs w:val="4"/>
              </w:rPr>
            </w:pPr>
            <w:r>
              <w:rPr>
                <w:sz w:val="4"/>
                <w:szCs w:val="4"/>
              </w:rPr>
            </w:r>
          </w:p>
        </w:tc>
        <w:tc>
          <w:tcPr>
            <w:tcW w:w="27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68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72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Liabilities</w:t>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w:t>
            </w:r>
          </w:p>
        </w:tc>
        <w:tc>
          <w:tcPr>
            <w:tcW w:w="27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6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726" w:type="dxa"/>
            <w:tcBorders/>
            <w:shd w:fill="CCEEFF" w:val="clear"/>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w:t>
            </w:r>
          </w:p>
        </w:tc>
        <w:tc>
          <w:tcPr>
            <w:tcW w:w="27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portion of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8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29,882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28,880</w:t>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Noncurrent</w:t>
            </w:r>
          </w:p>
        </w:tc>
        <w:tc>
          <w:tcPr>
            <w:tcW w:w="27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6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726" w:type="dxa"/>
            <w:tcBorders/>
            <w:shd w:fill="CCEEFF" w:val="clear"/>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w:t>
            </w:r>
          </w:p>
        </w:tc>
        <w:tc>
          <w:tcPr>
            <w:tcW w:w="27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Long-term lease liability,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104,963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113,700</w:t>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 liabilities</w:t>
            </w:r>
          </w:p>
        </w:tc>
        <w:tc>
          <w:tcPr>
            <w:tcW w:w="27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134,845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142,580</w:t>
            </w:r>
          </w:p>
        </w:tc>
      </w:tr>
    </w:tbl>
    <w:tbl>
      <w:tblPr>
        <w:tblW w:w="6141" w:type="dxa"/>
        <w:jc w:val="left"/>
        <w:tblInd w:w="0" w:type="dxa"/>
        <w:tblLayout w:type="fixed"/>
        <w:tblCellMar>
          <w:top w:w="0" w:type="dxa"/>
          <w:left w:w="0" w:type="dxa"/>
          <w:bottom w:w="0" w:type="dxa"/>
          <w:right w:w="0" w:type="dxa"/>
        </w:tblCellMar>
      </w:tblPr>
      <w:tblGrid>
        <w:gridCol w:w="2161"/>
        <w:gridCol w:w="1411"/>
        <w:gridCol w:w="109"/>
        <w:gridCol w:w="211"/>
        <w:gridCol w:w="904"/>
        <w:gridCol w:w="131"/>
        <w:gridCol w:w="255"/>
        <w:gridCol w:w="959"/>
      </w:tblGrid>
      <w:tr>
        <w:trPr/>
        <w:tc>
          <w:tcPr>
            <w:tcW w:w="216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9" w:type="dxa"/>
            <w:gridSpan w:val="4"/>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Year Ended December 31,</w:t>
            </w:r>
          </w:p>
        </w:tc>
      </w:tr>
      <w:tr>
        <w:trPr/>
        <w:tc>
          <w:tcPr>
            <w:tcW w:w="216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cost (in thousands)</w:t>
            </w:r>
          </w:p>
        </w:tc>
        <w:tc>
          <w:tcPr>
            <w:tcW w:w="141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Classification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4"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9"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r>
      <w:tr>
        <w:trPr/>
        <w:tc>
          <w:tcPr>
            <w:tcW w:w="216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cost</w:t>
            </w:r>
          </w:p>
        </w:tc>
        <w:tc>
          <w:tcPr>
            <w:tcW w:w="14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4"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37,307</w:t>
            </w:r>
          </w:p>
        </w:tc>
        <w:tc>
          <w:tcPr>
            <w:tcW w:w="131"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5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37,781</w:t>
            </w:r>
          </w:p>
        </w:tc>
      </w:tr>
      <w:tr>
        <w:trPr/>
        <w:tc>
          <w:tcPr>
            <w:tcW w:w="216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Variable lease cost</w:t>
            </w:r>
            <w:r>
              <w:rPr>
                <w:rFonts w:ascii="Times New Roman;serif" w:hAnsi="Times New Roman;serif"/>
                <w:b w:val="false"/>
                <w:i w:val="false"/>
                <w:caps w:val="false"/>
                <w:smallCaps w:val="false"/>
                <w:position w:val="7"/>
                <w:sz w:val="16"/>
                <w:sz w:val="20"/>
              </w:rPr>
              <w:t>(1)</w:t>
            </w:r>
          </w:p>
        </w:tc>
        <w:tc>
          <w:tcPr>
            <w:tcW w:w="14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15,628</w:t>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14,876</w:t>
            </w:r>
          </w:p>
        </w:tc>
      </w:tr>
      <w:tr>
        <w:trPr/>
        <w:tc>
          <w:tcPr>
            <w:tcW w:w="2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 term lease cost</w:t>
            </w:r>
          </w:p>
        </w:tc>
        <w:tc>
          <w:tcPr>
            <w:tcW w:w="14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w:t>
            </w:r>
          </w:p>
        </w:tc>
        <w:tc>
          <w:tcPr>
            <w:tcW w:w="131"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95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199</w:t>
            </w:r>
          </w:p>
        </w:tc>
      </w:tr>
      <w:tr>
        <w:trPr/>
        <w:tc>
          <w:tcPr>
            <w:tcW w:w="2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Sublease income</w:t>
            </w:r>
          </w:p>
        </w:tc>
        <w:tc>
          <w:tcPr>
            <w:tcW w:w="14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4"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(731)</w:t>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9"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lease cost</w:t>
            </w:r>
          </w:p>
        </w:tc>
        <w:tc>
          <w:tcPr>
            <w:tcW w:w="14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52,353</w:t>
            </w:r>
          </w:p>
        </w:tc>
        <w:tc>
          <w:tcPr>
            <w:tcW w:w="131"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5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52,856</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 xml:space="preserve">(1) </w:t>
      </w:r>
      <w:r>
        <w:rPr>
          <w:rFonts w:ascii="Times New Roman;serif" w:hAnsi="Times New Roman;serif"/>
          <w:b w:val="false"/>
          <w:i w:val="false"/>
          <w:caps w:val="false"/>
          <w:smallCaps w:val="false"/>
          <w:sz w:val="20"/>
        </w:rPr>
        <w:t xml:space="preserve">Variable lease costs consist primarily of taxes, insurance, and common area or other maintenance costs for the Company’s leased facilities. </w:t>
      </w:r>
    </w:p>
    <w:tbl>
      <w:tblPr>
        <w:tblW w:w="5300" w:type="dxa"/>
        <w:jc w:val="left"/>
        <w:tblInd w:w="0" w:type="dxa"/>
        <w:tblLayout w:type="fixed"/>
        <w:tblCellMar>
          <w:top w:w="0" w:type="dxa"/>
          <w:left w:w="0" w:type="dxa"/>
          <w:bottom w:w="0" w:type="dxa"/>
          <w:right w:w="0" w:type="dxa"/>
        </w:tblCellMar>
      </w:tblPr>
      <w:tblGrid>
        <w:gridCol w:w="3646"/>
        <w:gridCol w:w="109"/>
        <w:gridCol w:w="294"/>
        <w:gridCol w:w="1251"/>
      </w:tblGrid>
      <w:tr>
        <w:trPr/>
        <w:tc>
          <w:tcPr>
            <w:tcW w:w="3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64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Maturity of Lease Liabilities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Leases</w:t>
            </w:r>
          </w:p>
        </w:tc>
      </w:tr>
      <w:tr>
        <w:trPr/>
        <w:tc>
          <w:tcPr>
            <w:tcW w:w="364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5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39,642</w:t>
            </w:r>
          </w:p>
        </w:tc>
      </w:tr>
      <w:tr>
        <w:trPr/>
        <w:tc>
          <w:tcPr>
            <w:tcW w:w="36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35,247</w:t>
            </w:r>
          </w:p>
        </w:tc>
      </w:tr>
      <w:tr>
        <w:trPr/>
        <w:tc>
          <w:tcPr>
            <w:tcW w:w="3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125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27,888</w:t>
            </w:r>
          </w:p>
        </w:tc>
      </w:tr>
      <w:tr>
        <w:trPr/>
        <w:tc>
          <w:tcPr>
            <w:tcW w:w="36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20,741</w:t>
            </w:r>
          </w:p>
        </w:tc>
      </w:tr>
      <w:tr>
        <w:trPr/>
        <w:tc>
          <w:tcPr>
            <w:tcW w:w="3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125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13,924</w:t>
            </w:r>
          </w:p>
        </w:tc>
      </w:tr>
      <w:tr>
        <w:trPr/>
        <w:tc>
          <w:tcPr>
            <w:tcW w:w="36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51"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27,261</w:t>
            </w:r>
          </w:p>
        </w:tc>
      </w:tr>
      <w:tr>
        <w:trPr/>
        <w:tc>
          <w:tcPr>
            <w:tcW w:w="3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5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164,703</w:t>
            </w:r>
          </w:p>
        </w:tc>
      </w:tr>
      <w:tr>
        <w:trPr/>
        <w:tc>
          <w:tcPr>
            <w:tcW w:w="36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interest</w:t>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5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(29,858)</w:t>
            </w:r>
          </w:p>
        </w:tc>
      </w:tr>
      <w:tr>
        <w:trPr/>
        <w:tc>
          <w:tcPr>
            <w:tcW w:w="3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Present value of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134,845</w:t>
            </w:r>
          </w:p>
        </w:tc>
      </w:tr>
    </w:tbl>
    <w:tbl>
      <w:tblPr>
        <w:tblW w:w="823"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to Consolidated Financial Statements</w:t>
      </w:r>
    </w:p>
    <w:tbl>
      <w:tblPr>
        <w:tblW w:w="9140" w:type="dxa"/>
        <w:jc w:val="left"/>
        <w:tblInd w:w="0" w:type="dxa"/>
        <w:tblLayout w:type="fixed"/>
        <w:tblCellMar>
          <w:top w:w="0" w:type="dxa"/>
          <w:left w:w="0" w:type="dxa"/>
          <w:bottom w:w="0" w:type="dxa"/>
          <w:right w:w="0" w:type="dxa"/>
        </w:tblCellMar>
      </w:tblPr>
      <w:tblGrid>
        <w:gridCol w:w="6571"/>
        <w:gridCol w:w="109"/>
        <w:gridCol w:w="211"/>
        <w:gridCol w:w="915"/>
        <w:gridCol w:w="125"/>
        <w:gridCol w:w="242"/>
        <w:gridCol w:w="967"/>
      </w:tblGrid>
      <w:tr>
        <w:trPr/>
        <w:tc>
          <w:tcPr>
            <w:tcW w:w="6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9" w:type="dxa"/>
            <w:gridSpan w:val="4"/>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Year Ended December 31,</w:t>
            </w:r>
          </w:p>
        </w:tc>
      </w:tr>
      <w:tr>
        <w:trPr/>
        <w:tc>
          <w:tcPr>
            <w:tcW w:w="657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Information (in thousands)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5"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7"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r>
      <w:tr>
        <w:trPr/>
        <w:tc>
          <w:tcPr>
            <w:tcW w:w="657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5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cash flows from operating leases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15"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(39,997)</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4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67"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(39,184)</w:t>
            </w:r>
          </w:p>
        </w:tc>
      </w:tr>
      <w:tr>
        <w:trPr/>
        <w:tc>
          <w:tcPr>
            <w:tcW w:w="65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right-of-use assets obtained or modified in exchange for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1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21,259</w:t>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6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30,691</w:t>
            </w:r>
          </w:p>
        </w:tc>
      </w:tr>
    </w:tbl>
    <w:tbl>
      <w:tblPr>
        <w:tblW w:w="7727" w:type="dxa"/>
        <w:jc w:val="left"/>
        <w:tblInd w:w="0" w:type="dxa"/>
        <w:tblLayout w:type="fixed"/>
        <w:tblCellMar>
          <w:top w:w="0" w:type="dxa"/>
          <w:left w:w="0" w:type="dxa"/>
          <w:bottom w:w="0" w:type="dxa"/>
          <w:right w:w="0" w:type="dxa"/>
        </w:tblCellMar>
      </w:tblPr>
      <w:tblGrid>
        <w:gridCol w:w="3451"/>
        <w:gridCol w:w="109"/>
        <w:gridCol w:w="109"/>
        <w:gridCol w:w="1681"/>
        <w:gridCol w:w="271"/>
        <w:gridCol w:w="109"/>
        <w:gridCol w:w="1681"/>
        <w:gridCol w:w="316"/>
      </w:tblGrid>
      <w:tr>
        <w:trPr/>
        <w:tc>
          <w:tcPr>
            <w:tcW w:w="3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5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Term and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December 31, 2025</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December 31, 2024</w:t>
            </w:r>
          </w:p>
        </w:tc>
        <w:tc>
          <w:tcPr>
            <w:tcW w:w="3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45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average remaining term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45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8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8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8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7.29</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8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7.45</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second quarter of 2025, the Company entered into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sublease agreements for its distribution center space in New Jersey, which was closed in 2024. These sublease agreements commenced in the second quarter of 2025 and will expire in August 2026. During December 31, 2025, the Company recognized sublease income of $0.7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which was classified as a reduction of selling, general and administrative expense. The Company anticipates an additional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sublease income in 2026. The Company’s lease of the distribution space in New Jersey terminates in September 2026.</w:t>
      </w:r>
    </w:p>
    <w:p>
      <w:pPr>
        <w:pStyle w:val="TextBody"/>
        <w:bidi w:val="0"/>
        <w:spacing w:lineRule="auto" w:line="259"/>
        <w:rPr>
          <w:rFonts w:ascii="Times New Roman;serif" w:hAnsi="Times New Roman;serif"/>
          <w:b/>
          <w:i w:val="false"/>
          <w:caps w:val="false"/>
          <w:smallCaps w:val="false"/>
          <w:sz w:val="20"/>
        </w:rPr>
      </w:pPr>
      <w:bookmarkStart w:id="103" w:name="_Hlk157500116"/>
      <w:bookmarkEnd w:id="103"/>
      <w:r>
        <w:rPr>
          <w:rFonts w:ascii="Times New Roman;serif" w:hAnsi="Times New Roman;serif"/>
          <w:b/>
          <w:i w:val="false"/>
          <w:caps w:val="false"/>
          <w:smallCaps w:val="false"/>
          <w:sz w:val="20"/>
        </w:rPr>
        <w:t>Note 7: Fair Value of Financial Instruments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pStyle w:val="TextBody"/>
        <w:bidi w:val="0"/>
        <w:spacing w:lineRule="auto" w:line="259"/>
        <w:ind w:left="547"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1 – Unadjusted quoted prices that are available in active markets for the identical assets or liabilities at the measurement date.</w:t>
      </w:r>
    </w:p>
    <w:p>
      <w:pPr>
        <w:pStyle w:val="TextBody"/>
        <w:bidi w:val="0"/>
        <w:spacing w:lineRule="auto" w:line="259"/>
        <w:ind w:left="547"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2 – Significant other observable inputs available at the measurement date, other than quoted prices included in Level 1, either directly or indirectly, including:</w:t>
      </w:r>
    </w:p>
    <w:p>
      <w:pPr>
        <w:pStyle w:val="TextBody"/>
        <w:bidi w:val="0"/>
        <w:spacing w:lineRule="auto" w:line="259"/>
        <w:ind w:left="547" w:right="0" w:hanging="0"/>
        <w:rPr>
          <w:caps w:val="false"/>
          <w:smallCaps w:val="false"/>
        </w:rPr>
      </w:pPr>
      <w:r>
        <w:rPr>
          <w:caps w:val="false"/>
          <w:smallCaps w:val="false"/>
        </w:rPr>
        <w:t> </w:t>
      </w:r>
    </w:p>
    <w:p>
      <w:pPr>
        <w:pStyle w:val="TextBody"/>
        <w:bidi w:val="0"/>
        <w:spacing w:lineRule="auto" w:line="252"/>
        <w:ind w:left="1267" w:right="0" w:hanging="360"/>
        <w:rPr/>
      </w:pPr>
      <w:r>
        <w:rPr>
          <w:caps w:val="false"/>
          <w:smallCaps w:val="false"/>
          <w:color w:val="000000"/>
        </w:rPr>
        <w:t></w:t>
      </w:r>
      <w:r>
        <w:rPr>
          <w:rFonts w:ascii="Times New Roman;serif" w:hAnsi="Times New Roman;serif"/>
          <w:b w:val="false"/>
          <w:i w:val="false"/>
          <w:caps w:val="false"/>
          <w:smallCaps w:val="false"/>
          <w:sz w:val="20"/>
        </w:rPr>
        <w:t>Quot</w:t>
      </w:r>
      <w:r>
        <w:rPr>
          <w:rFonts w:ascii="Times New Roman;serif" w:hAnsi="Times New Roman;serif"/>
          <w:b w:val="false"/>
          <w:i w:val="false"/>
          <w:caps w:val="false"/>
          <w:smallCaps w:val="false"/>
          <w:color w:val="000000"/>
          <w:sz w:val="20"/>
        </w:rPr>
        <w:t>ed prices for similar assets or liabilities in active markets;</w:t>
      </w:r>
    </w:p>
    <w:p>
      <w:pPr>
        <w:pStyle w:val="TextBody"/>
        <w:bidi w:val="0"/>
        <w:spacing w:lineRule="auto" w:line="252"/>
        <w:ind w:left="1267" w:right="0" w:hanging="360"/>
        <w:rPr/>
      </w:pPr>
      <w:r>
        <w:rPr>
          <w:caps w:val="false"/>
          <w:smallCaps w:val="false"/>
          <w:color w:val="000000"/>
        </w:rPr>
        <w:t></w:t>
      </w:r>
      <w:r>
        <w:rPr>
          <w:rFonts w:ascii="Times New Roman;serif" w:hAnsi="Times New Roman;serif"/>
          <w:b w:val="false"/>
          <w:i w:val="false"/>
          <w:caps w:val="false"/>
          <w:smallCaps w:val="false"/>
          <w:color w:val="000000"/>
          <w:sz w:val="20"/>
        </w:rPr>
        <w:t>Quoted prices for identical or similar assets or liabilities in non-active markets;</w:t>
      </w:r>
    </w:p>
    <w:p>
      <w:pPr>
        <w:pStyle w:val="TextBody"/>
        <w:bidi w:val="0"/>
        <w:spacing w:lineRule="auto" w:line="252"/>
        <w:ind w:left="1267" w:right="0" w:hanging="360"/>
        <w:rPr/>
      </w:pPr>
      <w:r>
        <w:rPr>
          <w:caps w:val="false"/>
          <w:smallCaps w:val="false"/>
          <w:color w:val="000000"/>
        </w:rPr>
        <w:t></w:t>
      </w:r>
      <w:r>
        <w:rPr>
          <w:rFonts w:ascii="Times New Roman;serif" w:hAnsi="Times New Roman;serif"/>
          <w:b w:val="false"/>
          <w:i w:val="false"/>
          <w:caps w:val="false"/>
          <w:smallCaps w:val="false"/>
          <w:color w:val="000000"/>
          <w:sz w:val="20"/>
        </w:rPr>
        <w:t>Inputs other than quoted prices that are observable for the asset or liability; and</w:t>
      </w:r>
    </w:p>
    <w:p>
      <w:pPr>
        <w:pStyle w:val="TextBody"/>
        <w:bidi w:val="0"/>
        <w:spacing w:lineRule="auto" w:line="252"/>
        <w:ind w:left="1267" w:right="0" w:hanging="360"/>
        <w:rPr/>
      </w:pPr>
      <w:r>
        <w:rPr>
          <w:caps w:val="false"/>
          <w:smallCaps w:val="false"/>
        </w:rPr>
        <w:t></w:t>
      </w:r>
      <w:r>
        <w:rPr>
          <w:rFonts w:ascii="Times New Roman;serif" w:hAnsi="Times New Roman;serif"/>
          <w:b w:val="false"/>
          <w:i w:val="false"/>
          <w:caps w:val="false"/>
          <w:smallCaps w:val="false"/>
          <w:color w:val="000000"/>
          <w:sz w:val="20"/>
        </w:rPr>
        <w:t xml:space="preserve">Inputs that </w:t>
      </w:r>
      <w:r>
        <w:rPr>
          <w:rFonts w:ascii="Times New Roman;serif" w:hAnsi="Times New Roman;serif"/>
          <w:b w:val="false"/>
          <w:i w:val="false"/>
          <w:caps w:val="false"/>
          <w:smallCaps w:val="false"/>
          <w:sz w:val="20"/>
        </w:rPr>
        <w:t>are derived principally from or corroborated by other observable market data.</w:t>
      </w:r>
    </w:p>
    <w:p>
      <w:pPr>
        <w:pStyle w:val="TextBody"/>
        <w:bidi w:val="0"/>
        <w:spacing w:lineRule="auto" w:line="259"/>
        <w:rPr>
          <w:caps w:val="false"/>
          <w:smallCaps w:val="false"/>
        </w:rPr>
      </w:pPr>
      <w:r>
        <w:rPr>
          <w:caps w:val="false"/>
          <w:smallCaps w:val="false"/>
        </w:rPr>
        <w:t> </w:t>
      </w:r>
    </w:p>
    <w:p>
      <w:pPr>
        <w:pStyle w:val="TextBody"/>
        <w:bidi w:val="0"/>
        <w:spacing w:lineRule="auto" w:line="259"/>
        <w:ind w:left="547"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Level 3 – Significant unobservable inputs that cannot be corroborated by observable market data and reflect the use of significant management judgment.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by level within the fair value hierarchy the Company’s financial assets that were accounted for at fair value on a recurring basis at December 31, 2025 and 2024 according to the valuation techniques the Company uses to determine their fair values. There have been no transfers of assets among the fair value hierarchies presented.</w:t>
      </w:r>
    </w:p>
    <w:tbl>
      <w:tblPr>
        <w:tblW w:w="6854" w:type="dxa"/>
        <w:jc w:val="left"/>
        <w:tblInd w:w="0" w:type="dxa"/>
        <w:tblLayout w:type="fixed"/>
        <w:tblCellMar>
          <w:top w:w="0" w:type="dxa"/>
          <w:left w:w="0" w:type="dxa"/>
          <w:bottom w:w="0" w:type="dxa"/>
          <w:right w:w="0" w:type="dxa"/>
        </w:tblCellMar>
      </w:tblPr>
      <w:tblGrid>
        <w:gridCol w:w="2266"/>
        <w:gridCol w:w="109"/>
        <w:gridCol w:w="856"/>
        <w:gridCol w:w="109"/>
        <w:gridCol w:w="369"/>
        <w:gridCol w:w="1311"/>
        <w:gridCol w:w="109"/>
        <w:gridCol w:w="362"/>
        <w:gridCol w:w="1363"/>
      </w:tblGrid>
      <w:tr>
        <w:trPr/>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Pricing</w:t>
            </w:r>
          </w:p>
        </w:tc>
        <w:tc>
          <w:tcPr>
            <w:tcW w:w="109" w:type="dxa"/>
            <w:tcBorders/>
            <w:vAlign w:val="center"/>
          </w:tcPr>
          <w:p>
            <w:pPr>
              <w:pStyle w:val="TableContents"/>
              <w:bidi w:val="0"/>
              <w:spacing w:before="0" w:after="283"/>
              <w:jc w:val="left"/>
              <w:rPr>
                <w:sz w:val="4"/>
                <w:szCs w:val="4"/>
              </w:rPr>
            </w:pPr>
            <w:r>
              <w:rPr>
                <w:sz w:val="4"/>
                <w:szCs w:val="4"/>
              </w:rPr>
            </w:r>
          </w:p>
        </w:tc>
        <w:tc>
          <w:tcPr>
            <w:tcW w:w="3514" w:type="dxa"/>
            <w:gridSpan w:val="5"/>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Fair Value at</w:t>
            </w:r>
          </w:p>
        </w:tc>
      </w:tr>
      <w:tr>
        <w:trPr/>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Category</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2024</w:t>
            </w:r>
          </w:p>
        </w:tc>
      </w:tr>
      <w:tr>
        <w:trPr/>
        <w:tc>
          <w:tcPr>
            <w:tcW w:w="226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4" w:type="dxa"/>
            <w:gridSpan w:val="5"/>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1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6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20,957</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 consist of cash on hand, bank deposits, and money market funds. The value was measured using quoted market prices in active markets. The carrying value approximates fair value. There have been no changes in the valuation techniques used by the Company to value the Company’s financial instruments.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carrying value of accounts receivable and accounts payable approximates their estimated fair values due to the short maturities of these instruments.</w:t>
      </w:r>
    </w:p>
    <w:p>
      <w:pPr>
        <w:pStyle w:val="TextBody"/>
        <w:bidi w:val="0"/>
        <w:spacing w:lineRule="auto" w:line="259"/>
        <w:rPr>
          <w:rFonts w:ascii="Times New Roman;serif" w:hAnsi="Times New Roman;serif"/>
          <w:b w:val="false"/>
          <w:i w:val="false"/>
          <w:caps w:val="false"/>
          <w:smallCaps w:val="false"/>
          <w:sz w:val="20"/>
        </w:rPr>
      </w:pPr>
      <w:bookmarkStart w:id="104" w:name="_Hlk125035879"/>
      <w:bookmarkEnd w:id="104"/>
      <w:r>
        <w:rPr>
          <w:rFonts w:ascii="Times New Roman;serif" w:hAnsi="Times New Roman;serif"/>
          <w:b w:val="false"/>
          <w:i w:val="false"/>
          <w:caps w:val="false"/>
          <w:smallCaps w:val="false"/>
          <w:sz w:val="20"/>
        </w:rPr>
        <w:t xml:space="preserve">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During the year ended December 31, 2025, the Company recognized changes of $0.3 million in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to Consolidated Financial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selling, general, and administrative expenses to write-down property, plant, and equipment to their estimated fair values. During the years ended December 31, 2024 and 2023, the Company recognized charges of $0.9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$1.0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respectively, in selling, general, and administrative expenses to write-down property, plant, and equipment and right of use assets to their estimated fair values. The Company measured the fair value of these assets using a discounted cash flow model based on projected cash flows, an estimated risk-adjusted rate of return, and market rental rates for comparable properties. The following table presents quantitative information about significant level 2 and level 3 inputs used to estimate the fair value of property, plant and equipment and right of use assets during the twelve months ended December 31, 2025 and 2024: </w:t>
      </w:r>
    </w:p>
    <w:tbl>
      <w:tblPr>
        <w:tblW w:w="10205" w:type="dxa"/>
        <w:jc w:val="left"/>
        <w:tblInd w:w="0" w:type="dxa"/>
        <w:tblLayout w:type="fixed"/>
        <w:tblCellMar>
          <w:top w:w="0" w:type="dxa"/>
          <w:left w:w="0" w:type="dxa"/>
          <w:bottom w:w="0" w:type="dxa"/>
          <w:right w:w="0" w:type="dxa"/>
        </w:tblCellMar>
      </w:tblPr>
      <w:tblGrid>
        <w:gridCol w:w="2538"/>
        <w:gridCol w:w="109"/>
        <w:gridCol w:w="211"/>
        <w:gridCol w:w="1222"/>
        <w:gridCol w:w="109"/>
        <w:gridCol w:w="1740"/>
        <w:gridCol w:w="109"/>
        <w:gridCol w:w="901"/>
        <w:gridCol w:w="109"/>
        <w:gridCol w:w="1633"/>
        <w:gridCol w:w="109"/>
        <w:gridCol w:w="1415"/>
      </w:tblGrid>
      <w:tr>
        <w:trPr/>
        <w:tc>
          <w:tcPr>
            <w:tcW w:w="2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2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3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538"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22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Fair Value</w:t>
              <w:b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74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Valuation Technique</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Category</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63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Input</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41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Range</w:t>
            </w:r>
          </w:p>
        </w:tc>
      </w:tr>
      <w:tr>
        <w:trPr/>
        <w:tc>
          <w:tcPr>
            <w:tcW w:w="2538"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Property, plant and equipment </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22" w:type="dxa"/>
            <w:tcBorders/>
            <w:shd w:fill="CCEEFF" w:val="clear"/>
            <w:vAlign w:val="center"/>
          </w:tcPr>
          <w:p>
            <w:pPr>
              <w:pStyle w:val="TableContents"/>
              <w:bidi w:val="0"/>
              <w:spacing w:lineRule="auto" w:line="259" w:before="0" w:after="283"/>
              <w:ind w:left="0" w:right="72" w:hanging="0"/>
              <w:jc w:val="righ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4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Discounted cash flow</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3"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 growth rate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 to 20%</w:t>
            </w:r>
          </w:p>
        </w:tc>
      </w:tr>
      <w:tr>
        <w:trPr/>
        <w:tc>
          <w:tcPr>
            <w:tcW w:w="2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Discount rate</w:t>
            </w:r>
          </w:p>
        </w:tc>
        <w:tc>
          <w:tcPr>
            <w:tcW w:w="1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7.75% to 9.5%</w:t>
            </w:r>
          </w:p>
        </w:tc>
      </w:tr>
      <w:tr>
        <w:trPr/>
        <w:tc>
          <w:tcPr>
            <w:tcW w:w="253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2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4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5" w:type="dxa"/>
            <w:tcBorders/>
            <w:shd w:fill="CCEEFF" w:val="clear"/>
            <w:vAlign w:val="center"/>
          </w:tcPr>
          <w:p>
            <w:pPr>
              <w:pStyle w:val="TableContents"/>
              <w:bidi w:val="0"/>
              <w:spacing w:before="0" w:after="283"/>
              <w:jc w:val="left"/>
              <w:rPr>
                <w:sz w:val="4"/>
                <w:szCs w:val="4"/>
              </w:rPr>
            </w:pPr>
            <w:r>
              <w:rPr>
                <w:sz w:val="4"/>
                <w:szCs w:val="4"/>
              </w:rPr>
            </w:r>
          </w:p>
        </w:tc>
      </w:tr>
      <w:tr>
        <w:trPr/>
        <w:tc>
          <w:tcPr>
            <w:tcW w:w="2538"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2"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Fair Value</w:t>
              <w:b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740"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Valuation Technique</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Category</w:t>
            </w:r>
          </w:p>
        </w:tc>
        <w:tc>
          <w:tcPr>
            <w:tcW w:w="109" w:type="dxa"/>
            <w:tcBorders/>
            <w:vAlign w:val="center"/>
          </w:tcPr>
          <w:p>
            <w:pPr>
              <w:pStyle w:val="TableContents"/>
              <w:bidi w:val="0"/>
              <w:spacing w:before="0" w:after="283"/>
              <w:jc w:val="left"/>
              <w:rPr>
                <w:sz w:val="4"/>
                <w:szCs w:val="4"/>
              </w:rPr>
            </w:pPr>
            <w:r>
              <w:rPr>
                <w:sz w:val="4"/>
                <w:szCs w:val="4"/>
              </w:rPr>
            </w:r>
          </w:p>
        </w:tc>
        <w:tc>
          <w:tcPr>
            <w:tcW w:w="1633"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Input</w:t>
            </w:r>
          </w:p>
        </w:tc>
        <w:tc>
          <w:tcPr>
            <w:tcW w:w="109" w:type="dxa"/>
            <w:tcBorders/>
            <w:vAlign w:val="center"/>
          </w:tcPr>
          <w:p>
            <w:pPr>
              <w:pStyle w:val="TableContents"/>
              <w:bidi w:val="0"/>
              <w:spacing w:before="0" w:after="283"/>
              <w:jc w:val="left"/>
              <w:rPr>
                <w:sz w:val="4"/>
                <w:szCs w:val="4"/>
              </w:rPr>
            </w:pPr>
            <w:r>
              <w:rPr>
                <w:sz w:val="4"/>
                <w:szCs w:val="4"/>
              </w:rPr>
            </w:r>
          </w:p>
        </w:tc>
        <w:tc>
          <w:tcPr>
            <w:tcW w:w="1415"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Range</w:t>
            </w:r>
          </w:p>
        </w:tc>
      </w:tr>
      <w:tr>
        <w:trPr/>
        <w:tc>
          <w:tcPr>
            <w:tcW w:w="2538"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 xml:space="preserve">Right of use assets </w:t>
            </w:r>
            <w:r>
              <w:rPr>
                <w:rFonts w:ascii="Times New Roman;serif" w:hAnsi="Times New Roman;serif"/>
                <w:b w:val="false"/>
                <w:i w:val="false"/>
                <w:caps w:val="false"/>
                <w:smallCaps w:val="false"/>
                <w:color w:val="000000"/>
                <w:position w:val="7"/>
                <w:sz w:val="16"/>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22"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40"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Discounted cash flow</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3"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Market rental rates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5"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val="false"/>
                <w:i w:val="false"/>
                <w:caps w:val="false"/>
                <w:smallCaps w:val="false"/>
                <w:color w:val="000000"/>
                <w:sz w:val="20"/>
              </w:rPr>
              <w:t>$37.56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per sq. ft. </w:t>
            </w:r>
          </w:p>
        </w:tc>
      </w:tr>
      <w:tr>
        <w:trPr/>
        <w:tc>
          <w:tcPr>
            <w:tcW w:w="2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Discount rate</w:t>
            </w:r>
          </w:p>
        </w:tc>
        <w:tc>
          <w:tcPr>
            <w:tcW w:w="1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7.75%</w:t>
            </w:r>
          </w:p>
        </w:tc>
      </w:tr>
      <w:tr>
        <w:trPr/>
        <w:tc>
          <w:tcPr>
            <w:tcW w:w="2538"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Property, plant and equipment </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22" w:type="dxa"/>
            <w:tcBorders/>
            <w:shd w:fill="CCEEFF" w:val="clear"/>
            <w:vAlign w:val="center"/>
          </w:tcPr>
          <w:p>
            <w:pPr>
              <w:pStyle w:val="TableContents"/>
              <w:bidi w:val="0"/>
              <w:spacing w:lineRule="auto" w:line="259" w:before="0" w:after="283"/>
              <w:ind w:left="0" w:right="72" w:hanging="0"/>
              <w:jc w:val="righ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4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Discounted cash flow</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3"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 growth rate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1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 to 3%</w:t>
            </w:r>
          </w:p>
        </w:tc>
      </w:tr>
      <w:tr>
        <w:trPr/>
        <w:tc>
          <w:tcPr>
            <w:tcW w:w="2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Discount rate</w:t>
            </w:r>
          </w:p>
        </w:tc>
        <w:tc>
          <w:tcPr>
            <w:tcW w:w="1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7.75% to 8.5%</w:t>
            </w:r>
          </w:p>
        </w:tc>
      </w:tr>
    </w:tbl>
    <w:p>
      <w:pPr>
        <w:pStyle w:val="TextBody"/>
        <w:bidi w:val="0"/>
        <w:spacing w:lineRule="auto" w:line="259"/>
        <w:ind w:left="360" w:right="0" w:hanging="360"/>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b w:val="false"/>
          <w:i w:val="false"/>
          <w:caps w:val="false"/>
          <w:smallCaps w:val="false"/>
          <w:sz w:val="20"/>
        </w:rPr>
        <w:t>The fair value specifically relates to only those locations which had impairment charges during the twelve months ended December 31, 2025 and 2024.</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twelve months ended December 31, 2025, the Company recorded a $1.1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adjustment to reflect an increase in the fair value to restore leased property to its original condition at the end of the lease. The change in the estimated value of the Company’s asset retirement obligation resulted in a $1.1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increase in other long-term liabilities that was offset by a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increase in property, plant and equipment and a $0.1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asset impairment charge. The Company measured the fair value of its asset retirement obligation based on the estimated amounts and timing of settlements, an estimated risk adjusted rate of return, and expected inflation rates, which are considered Level 2 inputs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carrying value of the Company’s borrowings under its Credit Agreement approximates fair value based upon Level 2 inputs of the market interest rates available to the Company for debt obligations with similar risks and maturities.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8: (Loss) Income per common share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Basic (loss) earnings per share is calculated by dividing net (loss) income by the weighted average number of shares outstanding during the period. Diluted (loss) earnings per share is calculated by dividing net (loss) income by the weighted average number of common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outstanding, after taking into consideration all dilutive potential common shares outstanding during the period. In periods of net losses, all potentially dilutive outstanding stock awards are excluded from the Company’s calculation of earnings per share as their inclusion would have an anti-dilutive effect.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 and diluted net (loss) income per share was calculated as follows:</w:t>
      </w:r>
    </w:p>
    <w:tbl>
      <w:tblPr>
        <w:tblW w:w="10000" w:type="dxa"/>
        <w:jc w:val="left"/>
        <w:tblInd w:w="0" w:type="dxa"/>
        <w:tblLayout w:type="fixed"/>
        <w:tblCellMar>
          <w:top w:w="0" w:type="dxa"/>
          <w:left w:w="0" w:type="dxa"/>
          <w:bottom w:w="0" w:type="dxa"/>
          <w:right w:w="0" w:type="dxa"/>
        </w:tblCellMar>
      </w:tblPr>
      <w:tblGrid>
        <w:gridCol w:w="5671"/>
        <w:gridCol w:w="109"/>
        <w:gridCol w:w="211"/>
        <w:gridCol w:w="1108"/>
        <w:gridCol w:w="109"/>
        <w:gridCol w:w="211"/>
        <w:gridCol w:w="1108"/>
        <w:gridCol w:w="109"/>
        <w:gridCol w:w="211"/>
        <w:gridCol w:w="1153"/>
      </w:tblGrid>
      <w:tr>
        <w:trPr/>
        <w:tc>
          <w:tcPr>
            <w:tcW w:w="5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5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5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364"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r>
      <w:tr>
        <w:trPr/>
        <w:tc>
          <w:tcPr>
            <w:tcW w:w="5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0" w:type="dxa"/>
            <w:gridSpan w:val="8"/>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except share and per share data)</w:t>
            </w:r>
          </w:p>
        </w:tc>
      </w:tr>
      <w:tr>
        <w:trPr/>
        <w:tc>
          <w:tcPr>
            <w:tcW w:w="56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10,071</w:t>
            </w:r>
          </w:p>
        </w:tc>
      </w:tr>
      <w:tr>
        <w:trPr/>
        <w:tc>
          <w:tcPr>
            <w:tcW w:w="56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average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43,697,270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43,714,567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43,424,089</w:t>
            </w:r>
          </w:p>
        </w:tc>
      </w:tr>
      <w:tr>
        <w:trPr/>
        <w:tc>
          <w:tcPr>
            <w:tcW w:w="56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Effect of dilutive securities attributable to stock based awards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137,086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196,701</w:t>
            </w:r>
          </w:p>
        </w:tc>
      </w:tr>
      <w:tr>
        <w:trPr/>
        <w:tc>
          <w:tcPr>
            <w:tcW w:w="56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average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43,697,270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43,851,653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43,620,790</w:t>
            </w:r>
          </w:p>
        </w:tc>
      </w:tr>
      <w:tr>
        <w:trPr/>
        <w:tc>
          <w:tcPr>
            <w:tcW w:w="56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 net (loss) income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0.23</w:t>
            </w:r>
          </w:p>
        </w:tc>
      </w:tr>
      <w:tr>
        <w:trPr/>
        <w:tc>
          <w:tcPr>
            <w:tcW w:w="56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 net (loss) income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0.23</w:t>
            </w:r>
          </w:p>
        </w:tc>
      </w:tr>
      <w:tr>
        <w:trPr/>
        <w:tc>
          <w:tcPr>
            <w:tcW w:w="56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Anti-dilutive securities excluded from earnings per share calculation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536,882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118,717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404,557</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to Consolidated Financial Statements</w:t>
      </w:r>
    </w:p>
    <w:p>
      <w:pPr>
        <w:pStyle w:val="TextBody"/>
        <w:bidi w:val="0"/>
        <w:spacing w:lineRule="auto" w:line="259"/>
        <w:ind w:left="0" w:right="58"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9: Equity Incentive Plans</w:t>
      </w:r>
    </w:p>
    <w:p>
      <w:pPr>
        <w:pStyle w:val="TextBody"/>
        <w:bidi w:val="0"/>
        <w:spacing w:lineRule="auto" w:line="259"/>
        <w:rPr>
          <w:rFonts w:ascii="Times New Roman;serif" w:hAnsi="Times New Roman;serif"/>
          <w:b/>
          <w:i w:val="false"/>
          <w:caps w:val="false"/>
          <w:smallCaps w:val="false"/>
          <w:sz w:val="20"/>
        </w:rPr>
      </w:pPr>
      <w:bookmarkStart w:id="105" w:name="_Hlk125968504"/>
      <w:bookmarkEnd w:id="105"/>
      <w:r>
        <w:rPr>
          <w:rFonts w:ascii="Times New Roman;serif" w:hAnsi="Times New Roman;serif"/>
          <w:b/>
          <w:i w:val="false"/>
          <w:caps w:val="false"/>
          <w:smallCaps w:val="false"/>
          <w:sz w:val="20"/>
        </w:rPr>
        <w:t>Equity Plans: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July 20, 2021, the stockholders of the Company approved the Tile Shop Holdings, Inc. 2021 Omnibus Equity Compensation Plan (the “2021 Plan”). The 2021 Plan replaced the 2012 Omnibus Award Plan (the “Prior Plan”). Awards granted under the Prior Plan that were outstanding on the date of stockholder approval remained outstanding in accordance with their terms. The maximum number of shares that may be delivered with respect to awards under the 2021 Plan is 3,500,000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subject to adjustment in certain circumstances. Shares tendered or withheld to pay the exercise price of a stock option or to cover tax withholding will not be added back to the number of shares available under the 2021 Plan. To the extent that any award 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w:t>
      </w:r>
    </w:p>
    <w:p>
      <w:pPr>
        <w:pStyle w:val="TextBody"/>
        <w:bidi w:val="0"/>
        <w:spacing w:lineRule="auto" w:line="259"/>
        <w:rPr>
          <w:rFonts w:ascii="Times New Roman;serif" w:hAnsi="Times New Roman;serif"/>
          <w:b/>
          <w:i w:val="false"/>
          <w:caps w:val="false"/>
          <w:smallCaps w:val="false"/>
          <w:sz w:val="20"/>
        </w:rPr>
      </w:pPr>
      <w:bookmarkStart w:id="106" w:name="_Hlk157087347"/>
      <w:bookmarkEnd w:id="106"/>
      <w:r>
        <w:rPr>
          <w:rFonts w:ascii="Times New Roman;serif" w:hAnsi="Times New Roman;serif"/>
          <w:b/>
          <w:i w:val="false"/>
          <w:caps w:val="false"/>
          <w:smallCaps w:val="false"/>
          <w:sz w:val="20"/>
        </w:rPr>
        <w:t>Stock Options: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years ended December 31, 2025, 2024 and 2023, the Company did not grant any stock options to its employees or record material stock compensation expense related to stock options. As of December 31, 2025, all options outstanding were fully vested and all compensation cost has been recognized. Prior to 2020, the Company granted stock options to its employees that included service condition requirements. The options provide for certain acceleration of vesting and cancellation of options under different circumstances, such as a change in control, death, disability and termination of service. The Company recognizes compensation expense on a straight-line basis over the requisite service period, net of actual forfeitures.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stock option activity during the years ended December 31, 2025, 2024 and 2023:</w:t>
      </w:r>
    </w:p>
    <w:tbl>
      <w:tblPr>
        <w:tblW w:w="10030" w:type="dxa"/>
        <w:jc w:val="left"/>
        <w:tblInd w:w="0" w:type="dxa"/>
        <w:tblLayout w:type="fixed"/>
        <w:tblCellMar>
          <w:top w:w="0" w:type="dxa"/>
          <w:left w:w="0" w:type="dxa"/>
          <w:bottom w:w="0" w:type="dxa"/>
          <w:right w:w="0" w:type="dxa"/>
        </w:tblCellMar>
      </w:tblPr>
      <w:tblGrid>
        <w:gridCol w:w="4051"/>
        <w:gridCol w:w="109"/>
        <w:gridCol w:w="901"/>
        <w:gridCol w:w="109"/>
        <w:gridCol w:w="222"/>
        <w:gridCol w:w="679"/>
        <w:gridCol w:w="109"/>
        <w:gridCol w:w="279"/>
        <w:gridCol w:w="712"/>
        <w:gridCol w:w="109"/>
        <w:gridCol w:w="1336"/>
        <w:gridCol w:w="109"/>
        <w:gridCol w:w="367"/>
        <w:gridCol w:w="938"/>
      </w:tblGrid>
      <w:tr>
        <w:trPr/>
        <w:tc>
          <w:tcPr>
            <w:tcW w:w="4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4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4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Shares</w:t>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w:t>
              <w:br/>
              <w:t>‎Average</w:t>
              <w:br/>
              <w:t>‎Exercise</w:t>
              <w:br/>
              <w:t>‎Price</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vAlign w:val="center"/>
          </w:tcPr>
          <w:p>
            <w:pPr>
              <w:pStyle w:val="TableContents"/>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w:t>
            </w:r>
          </w:p>
          <w:p>
            <w:pPr>
              <w:pStyle w:val="TableContents"/>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Avg. Grant</w:t>
            </w:r>
          </w:p>
          <w:p>
            <w:pPr>
              <w:pStyle w:val="TableContents"/>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Date </w:t>
            </w:r>
          </w:p>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Avg.</w:t>
              <w:br/>
              <w:t>‎Remaining</w:t>
              <w:br/>
              <w:t>‎Contractual</w:t>
              <w:br/>
              <w:t>‎Term (Years)</w:t>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Aggregate</w:t>
              <w:br/>
              <w:t>‎Intrinsic</w:t>
              <w:br/>
              <w:t>‎Value</w:t>
              <w:br/>
              <w:t>‎(in thousands)</w:t>
            </w:r>
          </w:p>
        </w:tc>
      </w:tr>
      <w:tr>
        <w:trPr/>
        <w:tc>
          <w:tcPr>
            <w:tcW w:w="40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January 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558,067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1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0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double" w:sz="6"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12"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3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0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1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938" w:type="dxa"/>
            <w:tcBorders/>
            <w:shd w:fill="CCEEFF" w:val="clear"/>
            <w:vAlign w:val="center"/>
          </w:tcPr>
          <w:p>
            <w:pPr>
              <w:pStyle w:val="TableContents"/>
              <w:bidi w:val="0"/>
              <w:spacing w:before="0" w:after="283"/>
              <w:jc w:val="left"/>
              <w:rPr>
                <w:sz w:val="4"/>
                <w:szCs w:val="4"/>
              </w:rPr>
            </w:pPr>
            <w:r>
              <w:rPr>
                <w:sz w:val="4"/>
                <w:szCs w:val="4"/>
              </w:rPr>
            </w:r>
          </w:p>
        </w:tc>
      </w:tr>
      <w:tr>
        <w:trPr/>
        <w:tc>
          <w:tcPr>
            <w:tcW w:w="40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Cancelled/Forfeited</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(197,350)</w:t>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18.33</w:t>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12"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8.58</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0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310,717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1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236</w:t>
            </w:r>
          </w:p>
        </w:tc>
      </w:tr>
      <w:tr>
        <w:trPr/>
        <w:tc>
          <w:tcPr>
            <w:tcW w:w="40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double" w:sz="6"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12"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3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0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1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938" w:type="dxa"/>
            <w:tcBorders/>
            <w:shd w:fill="CCEEFF" w:val="clear"/>
            <w:vAlign w:val="center"/>
          </w:tcPr>
          <w:p>
            <w:pPr>
              <w:pStyle w:val="TableContents"/>
              <w:bidi w:val="0"/>
              <w:spacing w:before="0" w:after="283"/>
              <w:jc w:val="left"/>
              <w:rPr>
                <w:sz w:val="4"/>
                <w:szCs w:val="4"/>
              </w:rPr>
            </w:pPr>
            <w:r>
              <w:rPr>
                <w:sz w:val="4"/>
                <w:szCs w:val="4"/>
              </w:rPr>
            </w:r>
          </w:p>
        </w:tc>
      </w:tr>
      <w:tr>
        <w:trPr/>
        <w:tc>
          <w:tcPr>
            <w:tcW w:w="40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Cancelled/Forfeited</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(15,350)</w:t>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15.97</w:t>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12"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6.52</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0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295,367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1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w:t>
            </w:r>
          </w:p>
        </w:tc>
      </w:tr>
      <w:tr>
        <w:trPr/>
        <w:tc>
          <w:tcPr>
            <w:tcW w:w="40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double" w:sz="6"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12"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3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0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1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938" w:type="dxa"/>
            <w:tcBorders/>
            <w:shd w:fill="CCEEFF" w:val="clear"/>
            <w:vAlign w:val="center"/>
          </w:tcPr>
          <w:p>
            <w:pPr>
              <w:pStyle w:val="TableContents"/>
              <w:bidi w:val="0"/>
              <w:spacing w:before="0" w:after="283"/>
              <w:jc w:val="left"/>
              <w:rPr>
                <w:sz w:val="4"/>
                <w:szCs w:val="4"/>
              </w:rPr>
            </w:pPr>
            <w:r>
              <w:rPr>
                <w:sz w:val="4"/>
                <w:szCs w:val="4"/>
              </w:rPr>
            </w:r>
          </w:p>
        </w:tc>
      </w:tr>
      <w:tr>
        <w:trPr/>
        <w:tc>
          <w:tcPr>
            <w:tcW w:w="40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Cancelled/Forfeited</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12"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0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295,367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1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0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Exercisable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double" w:sz="6"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295,367</w:t>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12"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3.00</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top w:val="double" w:sz="6"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8" w:type="dxa"/>
            <w:tcBorders>
              <w:top w:val="double" w:sz="6" w:space="0" w:color="000000"/>
              <w:bottom w:val="single" w:sz="8"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0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Vested and expected to vest, 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295,367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1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bookmarkStart w:id="107" w:name="_Hlk125968871"/>
      <w:bookmarkEnd w:id="107"/>
      <w:r>
        <w:rPr>
          <w:rFonts w:ascii="Times New Roman;serif" w:hAnsi="Times New Roman;serif"/>
          <w:b w:val="false"/>
          <w:i w:val="false"/>
          <w:caps w:val="false"/>
          <w:smallCaps w:val="false"/>
          <w:sz w:val="20"/>
        </w:rPr>
        <w:t>The aggregate intrinsic value is the difference between the exercise price and the closing price of the Company’s stock on December 31.</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sz w:val="20"/>
        </w:rPr>
      </w:pPr>
      <w:bookmarkStart w:id="108" w:name="_Hlk157089454"/>
      <w:bookmarkStart w:id="109" w:name="_Hlk125970398"/>
      <w:bookmarkEnd w:id="108"/>
      <w:bookmarkEnd w:id="109"/>
      <w:r>
        <w:rPr>
          <w:rFonts w:ascii="Times New Roman;serif" w:hAnsi="Times New Roman;serif"/>
          <w:b/>
          <w:i w:val="false"/>
          <w:caps w:val="false"/>
          <w:smallCaps w:val="false"/>
          <w:sz w:val="20"/>
        </w:rPr>
        <w:t>Restricted Stock: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awards restricted common shares to selected employees and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its Adjusted EBITDA or Pretax Return on Capital Employed performance targets. The restricted common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restricted stock activity during the years ended December 31, 2025, 2024 and 2023:</w:t>
      </w:r>
    </w:p>
    <w:tbl>
      <w:tblPr>
        <w:tblW w:w="5258" w:type="dxa"/>
        <w:jc w:val="left"/>
        <w:tblInd w:w="0" w:type="dxa"/>
        <w:tblLayout w:type="fixed"/>
        <w:tblCellMar>
          <w:top w:w="0" w:type="dxa"/>
          <w:left w:w="0" w:type="dxa"/>
          <w:bottom w:w="0" w:type="dxa"/>
          <w:right w:w="0" w:type="dxa"/>
        </w:tblCellMar>
      </w:tblPr>
      <w:tblGrid>
        <w:gridCol w:w="2656"/>
        <w:gridCol w:w="109"/>
        <w:gridCol w:w="1003"/>
        <w:gridCol w:w="109"/>
        <w:gridCol w:w="366"/>
        <w:gridCol w:w="1015"/>
      </w:tblGrid>
      <w:tr>
        <w:trPr/>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Avg.</w:t>
              <w:br/>
              <w:t>‎Grant Date</w:t>
              <w:br/>
              <w:t>‎Fair Value</w:t>
            </w:r>
          </w:p>
        </w:tc>
      </w:tr>
      <w:tr>
        <w:trPr/>
        <w:tc>
          <w:tcPr>
            <w:tcW w:w="26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Nonvested, January 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1,176,902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4.46</w:t>
            </w:r>
          </w:p>
        </w:tc>
      </w:tr>
      <w:tr>
        <w:trPr/>
        <w:tc>
          <w:tcPr>
            <w:tcW w:w="26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611,154</w:t>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4.98</w:t>
            </w:r>
          </w:p>
        </w:tc>
      </w:tr>
      <w:tr>
        <w:trPr/>
        <w:tc>
          <w:tcPr>
            <w:tcW w:w="26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Vested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(448,506)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3.47</w:t>
            </w:r>
          </w:p>
        </w:tc>
      </w:tr>
      <w:tr>
        <w:trPr/>
        <w:tc>
          <w:tcPr>
            <w:tcW w:w="26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(372,645)</w:t>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5.28</w:t>
            </w:r>
          </w:p>
        </w:tc>
      </w:tr>
      <w:tr>
        <w:trPr/>
        <w:tc>
          <w:tcPr>
            <w:tcW w:w="26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Nonvested,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966,905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4.93</w:t>
            </w:r>
          </w:p>
        </w:tc>
      </w:tr>
      <w:tr>
        <w:trPr/>
        <w:tc>
          <w:tcPr>
            <w:tcW w:w="26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497,893</w:t>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6.69</w:t>
            </w:r>
          </w:p>
        </w:tc>
      </w:tr>
      <w:tr>
        <w:trPr/>
        <w:tc>
          <w:tcPr>
            <w:tcW w:w="26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Vested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(334,014)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4.07</w:t>
            </w:r>
          </w:p>
        </w:tc>
      </w:tr>
      <w:tr>
        <w:trPr/>
        <w:tc>
          <w:tcPr>
            <w:tcW w:w="26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(275,689)</w:t>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5.81</w:t>
            </w:r>
          </w:p>
        </w:tc>
      </w:tr>
      <w:tr>
        <w:trPr/>
        <w:tc>
          <w:tcPr>
            <w:tcW w:w="26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Nonvested,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855,095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6.01</w:t>
            </w:r>
          </w:p>
        </w:tc>
      </w:tr>
      <w:tr>
        <w:trPr/>
        <w:tc>
          <w:tcPr>
            <w:tcW w:w="26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427,131</w:t>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7.14</w:t>
            </w:r>
          </w:p>
        </w:tc>
      </w:tr>
      <w:tr>
        <w:trPr/>
        <w:tc>
          <w:tcPr>
            <w:tcW w:w="26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Vested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(204,450)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6.31</w:t>
            </w:r>
          </w:p>
        </w:tc>
      </w:tr>
      <w:tr>
        <w:trPr/>
        <w:tc>
          <w:tcPr>
            <w:tcW w:w="26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(346,720)</w:t>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6.05</w:t>
            </w:r>
          </w:p>
        </w:tc>
      </w:tr>
      <w:tr>
        <w:trPr/>
        <w:tc>
          <w:tcPr>
            <w:tcW w:w="26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Nonvested, 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731,056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6.57</w:t>
            </w:r>
          </w:p>
        </w:tc>
      </w:tr>
    </w:tbl>
    <w:p>
      <w:pPr>
        <w:pStyle w:val="TextBody"/>
        <w:bidi w:val="0"/>
        <w:spacing w:lineRule="auto" w:line="259"/>
        <w:ind w:left="0" w:right="101" w:hanging="0"/>
        <w:rPr>
          <w:rFonts w:ascii="Times New Roman;serif" w:hAnsi="Times New Roman;serif"/>
          <w:sz w:val="20"/>
        </w:rPr>
      </w:pPr>
      <w:bookmarkStart w:id="110" w:name="_Hlk125970552"/>
      <w:bookmarkEnd w:id="110"/>
      <w:r>
        <w:rPr>
          <w:rFonts w:ascii="Times New Roman;serif" w:hAnsi="Times New Roman;serif"/>
          <w:b w:val="false"/>
          <w:i w:val="false"/>
          <w:caps w:val="false"/>
          <w:smallCaps w:val="false"/>
          <w:sz w:val="20"/>
        </w:rPr>
        <w:t>The total expense associated with restricted stock for the years ended December 31, 2025, 2024, and 2023 was $1.3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$1.3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$1.4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respectively. </w:t>
      </w:r>
    </w:p>
    <w:p>
      <w:pPr>
        <w:pStyle w:val="TextBody"/>
        <w:bidi w:val="0"/>
        <w:spacing w:lineRule="auto" w:line="259"/>
        <w:ind w:left="0" w:right="101"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Each fiscal year, the Company grants restricted share awards subject to forfeiture on the date the Company files its annual report on Form 10-K for each of the three fiscal years starting with the fiscal year of grant, if the Company fails to attain certain performance targets in each year. In 2025, the Company granted restricted share awards subject to forfeiture on the date the Company files its annual report on Form 10-K for each of the 2025, 2026 and 2027 fiscal years if the Company fails to attain certain Pretax Return on Capital Employed performance targets in 2025, 2026 and 2027. The Company did not attain any of the Pretax Return on Capital Employed performance measures in 2025, and accordingly, did not record any expense in connection with the performance share awards in 2025.</w:t>
      </w:r>
    </w:p>
    <w:p>
      <w:pPr>
        <w:pStyle w:val="TextBody"/>
        <w:bidi w:val="0"/>
        <w:spacing w:lineRule="auto" w:line="259"/>
        <w:ind w:left="0" w:right="101" w:hanging="0"/>
        <w:rPr>
          <w:rFonts w:ascii="Times New Roman;serif" w:hAnsi="Times New Roman;serif"/>
          <w:sz w:val="20"/>
        </w:rPr>
      </w:pPr>
      <w:r>
        <w:rPr>
          <w:rFonts w:ascii="Times New Roman;serif" w:hAnsi="Times New Roman;serif"/>
          <w:b w:val="false"/>
          <w:i w:val="false"/>
          <w:caps w:val="false"/>
          <w:smallCaps w:val="false"/>
          <w:sz w:val="20"/>
        </w:rPr>
        <w:t>As of December 31, 2025, there was $2.6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of total unrecognized expense related to unvested restricted stock awards, which are expected to vest, and will be expensed over a weighted average period of 1.4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The fair value of restricted stock granted in fiscal years 2025 and 2024 was $3.1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$3.3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respectively. The total fair value of restricted stock that vested in fiscal years 2025 and 2024 was $1.3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$2.2</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respectively. Using the closing stock price of $3.52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December 31, 2025, the 731,056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restricted shares outstanding and expected to vest as of December 31, 2025 had an intrinsic value of $2.6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w:t>
      </w:r>
    </w:p>
    <w:p>
      <w:pPr>
        <w:pStyle w:val="TextBody"/>
        <w:bidi w:val="0"/>
        <w:spacing w:lineRule="auto" w:line="259"/>
        <w:ind w:left="0" w:right="101" w:hanging="0"/>
        <w:jc w:val="both"/>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bookmarkStart w:id="111" w:name="_Hlk125978855"/>
      <w:bookmarkStart w:id="112" w:name="_Hlk125978801"/>
      <w:bookmarkEnd w:id="111"/>
      <w:bookmarkEnd w:id="112"/>
      <w:r>
        <w:rPr>
          <w:rFonts w:ascii="Times New Roman;serif" w:hAnsi="Times New Roman;serif"/>
          <w:b w:val="false"/>
          <w:i w:val="false"/>
          <w:caps w:val="false"/>
          <w:smallCaps w:val="false"/>
          <w:sz w:val="20"/>
        </w:rPr>
        <w:t>75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10: Income Taxes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December 2023, the FASB issued ASU 2023-09, Improvements to Income Tax Disclosures, which enhances the transparency and decision usefulness of income tax disclosures, primarily related to the effective tax rate reconciliation and income taxes paid.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adopted ASU 2023-09 prospectively for the year ended December 31, 2025. The standard did not have a material impact on the Company’s consolidated financial statements. Prior-period disclosures have not been retrospectively adjusted.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before income taxes consisted of the following: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Current Year - ASU 2023-09 (Prospective Adoption)</w:t>
      </w:r>
      <w:r>
        <w:rPr>
          <w:rFonts w:ascii="Times New Roman;serif" w:hAnsi="Times New Roman;serif"/>
          <w:sz w:val="20"/>
        </w:rPr>
        <w:t xml:space="preserve"> </w:t>
      </w:r>
    </w:p>
    <w:tbl>
      <w:tblPr>
        <w:tblW w:w="6324" w:type="dxa"/>
        <w:jc w:val="left"/>
        <w:tblInd w:w="0" w:type="dxa"/>
        <w:tblLayout w:type="fixed"/>
        <w:tblCellMar>
          <w:top w:w="0" w:type="dxa"/>
          <w:left w:w="0" w:type="dxa"/>
          <w:bottom w:w="0" w:type="dxa"/>
          <w:right w:w="0" w:type="dxa"/>
        </w:tblCellMar>
      </w:tblPr>
      <w:tblGrid>
        <w:gridCol w:w="3346"/>
        <w:gridCol w:w="211"/>
        <w:gridCol w:w="691"/>
        <w:gridCol w:w="109"/>
        <w:gridCol w:w="211"/>
        <w:gridCol w:w="643"/>
        <w:gridCol w:w="109"/>
        <w:gridCol w:w="211"/>
        <w:gridCol w:w="793"/>
      </w:tblGrid>
      <w:tr>
        <w:trPr/>
        <w:tc>
          <w:tcPr>
            <w:tcW w:w="3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283"/>
              <w:jc w:val="left"/>
              <w:rPr>
                <w:sz w:val="4"/>
                <w:szCs w:val="4"/>
              </w:rPr>
            </w:pPr>
            <w:r>
              <w:rPr>
                <w:sz w:val="4"/>
                <w:szCs w:val="4"/>
              </w:rPr>
            </w:r>
          </w:p>
        </w:tc>
        <w:tc>
          <w:tcPr>
            <w:tcW w:w="2978" w:type="dxa"/>
            <w:gridSpan w:val="8"/>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Years Ended December 31,</w:t>
            </w:r>
          </w:p>
        </w:tc>
      </w:tr>
      <w:tr>
        <w:trPr/>
        <w:tc>
          <w:tcPr>
            <w:tcW w:w="3346"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r>
      <w:tr>
        <w:trPr/>
        <w:tc>
          <w:tcPr>
            <w:tcW w:w="3346" w:type="dxa"/>
            <w:tcBorders/>
            <w:vAlign w:val="center"/>
          </w:tcPr>
          <w:p>
            <w:pPr>
              <w:pStyle w:val="TableContents"/>
              <w:bidi w:val="0"/>
              <w:spacing w:before="0" w:after="283"/>
              <w:jc w:val="left"/>
              <w:rPr>
                <w:sz w:val="4"/>
                <w:szCs w:val="4"/>
              </w:rPr>
            </w:pPr>
            <w:r>
              <w:rPr>
                <w:sz w:val="4"/>
                <w:szCs w:val="4"/>
              </w:rPr>
            </w:r>
          </w:p>
        </w:tc>
        <w:tc>
          <w:tcPr>
            <w:tcW w:w="2978" w:type="dxa"/>
            <w:gridSpan w:val="8"/>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w:t>
            </w:r>
          </w:p>
        </w:tc>
      </w:tr>
      <w:tr>
        <w:trPr/>
        <w:tc>
          <w:tcPr>
            <w:tcW w:w="33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Domestic</w:t>
            </w:r>
          </w:p>
        </w:tc>
        <w:tc>
          <w:tcPr>
            <w:tcW w:w="2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14,116</w:t>
            </w:r>
          </w:p>
        </w:tc>
      </w:tr>
      <w:tr>
        <w:trPr/>
        <w:tc>
          <w:tcPr>
            <w:tcW w:w="33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w:t>
            </w:r>
          </w:p>
        </w:tc>
      </w:tr>
      <w:tr>
        <w:trPr/>
        <w:tc>
          <w:tcPr>
            <w:tcW w:w="33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(loss) income before income taxes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13,994</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the provision for income taxes consisted of the following:</w:t>
      </w:r>
    </w:p>
    <w:tbl>
      <w:tblPr>
        <w:tblW w:w="6466" w:type="dxa"/>
        <w:jc w:val="left"/>
        <w:tblInd w:w="0" w:type="dxa"/>
        <w:tblLayout w:type="fixed"/>
        <w:tblCellMar>
          <w:top w:w="0" w:type="dxa"/>
          <w:left w:w="0" w:type="dxa"/>
          <w:bottom w:w="0" w:type="dxa"/>
          <w:right w:w="0" w:type="dxa"/>
        </w:tblCellMar>
      </w:tblPr>
      <w:tblGrid>
        <w:gridCol w:w="3586"/>
        <w:gridCol w:w="109"/>
        <w:gridCol w:w="211"/>
        <w:gridCol w:w="643"/>
        <w:gridCol w:w="109"/>
        <w:gridCol w:w="211"/>
        <w:gridCol w:w="541"/>
        <w:gridCol w:w="109"/>
        <w:gridCol w:w="211"/>
        <w:gridCol w:w="736"/>
      </w:tblGrid>
      <w:tr>
        <w:trPr/>
        <w:tc>
          <w:tcPr>
            <w:tcW w:w="3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gridSpan w:val="8"/>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Years Ended December 31,</w:t>
            </w:r>
          </w:p>
        </w:tc>
      </w:tr>
      <w:tr>
        <w:trPr/>
        <w:tc>
          <w:tcPr>
            <w:tcW w:w="3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r>
      <w:tr>
        <w:trPr/>
        <w:tc>
          <w:tcPr>
            <w:tcW w:w="3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gridSpan w:val="8"/>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w:t>
            </w:r>
          </w:p>
        </w:tc>
      </w:tr>
      <w:tr>
        <w:trPr/>
        <w:tc>
          <w:tcPr>
            <w:tcW w:w="35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3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(2,087)</w:t>
            </w:r>
          </w:p>
        </w:tc>
      </w:tr>
      <w:tr>
        <w:trPr/>
        <w:tc>
          <w:tcPr>
            <w:tcW w:w="358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(556)</w:t>
            </w:r>
          </w:p>
        </w:tc>
      </w:tr>
      <w:tr>
        <w:trPr/>
        <w:tc>
          <w:tcPr>
            <w:tcW w:w="35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Current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3"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(2,643)</w:t>
            </w:r>
          </w:p>
        </w:tc>
      </w:tr>
      <w:tr>
        <w:trPr/>
        <w:tc>
          <w:tcPr>
            <w:tcW w:w="35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(794)</w:t>
            </w:r>
          </w:p>
        </w:tc>
      </w:tr>
      <w:tr>
        <w:trPr/>
        <w:tc>
          <w:tcPr>
            <w:tcW w:w="358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(486)</w:t>
            </w:r>
          </w:p>
        </w:tc>
      </w:tr>
      <w:tr>
        <w:trPr/>
        <w:tc>
          <w:tcPr>
            <w:tcW w:w="35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Deferred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(1,280)</w:t>
            </w:r>
          </w:p>
        </w:tc>
      </w:tr>
      <w:tr>
        <w:trPr/>
        <w:tc>
          <w:tcPr>
            <w:tcW w:w="35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4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(3,923)</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reflects the effective income tax rate reconciliation for the year ended December 31, 2025 (ASU 2023-09 (Prospective Adoption)):</w:t>
      </w:r>
    </w:p>
    <w:tbl>
      <w:tblPr>
        <w:tblW w:w="7458" w:type="dxa"/>
        <w:jc w:val="left"/>
        <w:tblInd w:w="0" w:type="dxa"/>
        <w:tblLayout w:type="fixed"/>
        <w:tblCellMar>
          <w:top w:w="0" w:type="dxa"/>
          <w:left w:w="0" w:type="dxa"/>
          <w:bottom w:w="0" w:type="dxa"/>
          <w:right w:w="0" w:type="dxa"/>
        </w:tblCellMar>
      </w:tblPr>
      <w:tblGrid>
        <w:gridCol w:w="4306"/>
        <w:gridCol w:w="211"/>
        <w:gridCol w:w="1261"/>
        <w:gridCol w:w="1057"/>
        <w:gridCol w:w="623"/>
      </w:tblGrid>
      <w:tr>
        <w:trPr/>
        <w:tc>
          <w:tcPr>
            <w:tcW w:w="4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4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4306"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941" w:type="dxa"/>
            <w:gridSpan w:val="3"/>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r>
      <w:tr>
        <w:trPr/>
        <w:tc>
          <w:tcPr>
            <w:tcW w:w="430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tcMar>
              <w:top w:w="28" w:type="dxa"/>
            </w:tcMar>
            <w:vAlign w:val="center"/>
          </w:tcPr>
          <w:p>
            <w:pPr>
              <w:pStyle w:val="TableContents"/>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Amounts</w:t>
            </w:r>
          </w:p>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w:t>
            </w:r>
          </w:p>
        </w:tc>
        <w:tc>
          <w:tcPr>
            <w:tcW w:w="1680" w:type="dxa"/>
            <w:gridSpan w:val="2"/>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of Statutory Tax</w:t>
            </w:r>
          </w:p>
        </w:tc>
      </w:tr>
      <w:tr>
        <w:trPr/>
        <w:tc>
          <w:tcPr>
            <w:tcW w:w="43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Tax at US federal statutory rate</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6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1,230</w:t>
            </w:r>
          </w:p>
        </w:tc>
        <w:tc>
          <w:tcPr>
            <w:tcW w:w="105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21.0</w:t>
            </w:r>
          </w:p>
        </w:tc>
        <w:tc>
          <w:tcPr>
            <w:tcW w:w="6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3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and local income taxes, net of federal benefit*</w:t>
            </w:r>
          </w:p>
        </w:tc>
        <w:tc>
          <w:tcPr>
            <w:tcW w:w="21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163</w:t>
            </w:r>
          </w:p>
        </w:tc>
        <w:tc>
          <w:tcPr>
            <w:tcW w:w="105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tc>
        <w:tc>
          <w:tcPr>
            <w:tcW w:w="6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3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c>
          <w:tcPr>
            <w:tcW w:w="1057"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w:t>
            </w:r>
          </w:p>
        </w:tc>
        <w:tc>
          <w:tcPr>
            <w:tcW w:w="623"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3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Benefit (Provision) for Income Taxes</w:t>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61"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1,361</w:t>
            </w:r>
          </w:p>
        </w:tc>
        <w:tc>
          <w:tcPr>
            <w:tcW w:w="1057"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w:t>
            </w:r>
          </w:p>
        </w:tc>
        <w:tc>
          <w:tcPr>
            <w:tcW w:w="62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taxes in Texas, Illinois, Minnesota, Michigan, Virginia, Maryland, and Pennsylvania made up the majority (greater than 50 percent) of the tax effect in this category.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reflects the effective income tax rate reconciliation for the years ended December 31, 2024 and 2023 (ASU 2023-09 (Prospective Adoption)):</w:t>
      </w:r>
    </w:p>
    <w:tbl>
      <w:tblPr>
        <w:tblW w:w="5778" w:type="dxa"/>
        <w:jc w:val="left"/>
        <w:tblInd w:w="0" w:type="dxa"/>
        <w:tblLayout w:type="fixed"/>
        <w:tblCellMar>
          <w:top w:w="0" w:type="dxa"/>
          <w:left w:w="0" w:type="dxa"/>
          <w:bottom w:w="0" w:type="dxa"/>
          <w:right w:w="0" w:type="dxa"/>
        </w:tblCellMar>
      </w:tblPr>
      <w:tblGrid>
        <w:gridCol w:w="4006"/>
        <w:gridCol w:w="538"/>
        <w:gridCol w:w="271"/>
        <w:gridCol w:w="109"/>
        <w:gridCol w:w="538"/>
        <w:gridCol w:w="316"/>
      </w:tblGrid>
      <w:tr>
        <w:trPr/>
        <w:tc>
          <w:tcPr>
            <w:tcW w:w="400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0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06" w:type="dxa"/>
            <w:tcBorders/>
            <w:vAlign w:val="center"/>
          </w:tcPr>
          <w:p>
            <w:pPr>
              <w:pStyle w:val="TableContents"/>
              <w:bidi w:val="0"/>
              <w:spacing w:before="0" w:after="283"/>
              <w:jc w:val="left"/>
              <w:rPr>
                <w:sz w:val="4"/>
                <w:szCs w:val="4"/>
              </w:rPr>
            </w:pPr>
            <w:r>
              <w:rPr>
                <w:sz w:val="4"/>
                <w:szCs w:val="4"/>
              </w:rPr>
            </w:r>
          </w:p>
        </w:tc>
        <w:tc>
          <w:tcPr>
            <w:tcW w:w="809"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854"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r>
      <w:tr>
        <w:trPr/>
        <w:tc>
          <w:tcPr>
            <w:tcW w:w="40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 statutory rate</w:t>
            </w:r>
          </w:p>
        </w:tc>
        <w:tc>
          <w:tcPr>
            <w:tcW w:w="53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21.0</w:t>
            </w:r>
          </w:p>
        </w:tc>
        <w:tc>
          <w:tcPr>
            <w:tcW w:w="27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21.0</w:t>
            </w:r>
          </w:p>
        </w:tc>
        <w:tc>
          <w:tcPr>
            <w:tcW w:w="31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0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income taxes, net of the federal tax benefit</w:t>
            </w:r>
          </w:p>
        </w:tc>
        <w:tc>
          <w:tcPr>
            <w:tcW w:w="53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based compensation</w:t>
            </w:r>
          </w:p>
        </w:tc>
        <w:tc>
          <w:tcPr>
            <w:tcW w:w="53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Non-deductible meals and entertainment</w:t>
            </w:r>
          </w:p>
        </w:tc>
        <w:tc>
          <w:tcPr>
            <w:tcW w:w="53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0.3</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Tax credits</w:t>
            </w:r>
          </w:p>
        </w:tc>
        <w:tc>
          <w:tcPr>
            <w:tcW w:w="53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rate differential</w:t>
            </w:r>
          </w:p>
        </w:tc>
        <w:tc>
          <w:tcPr>
            <w:tcW w:w="53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0.2</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53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0.8</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(0.4)</w:t>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40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Effective tax rate</w:t>
            </w:r>
          </w:p>
        </w:tc>
        <w:tc>
          <w:tcPr>
            <w:tcW w:w="53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28.4</w:t>
            </w:r>
          </w:p>
        </w:tc>
        <w:tc>
          <w:tcPr>
            <w:tcW w:w="2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w:t>
            </w:r>
          </w:p>
        </w:tc>
        <w:tc>
          <w:tcPr>
            <w:tcW w:w="3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effective tax rate was 23.2%, 28.4%, and 28.0% for the years ended December 31, 2025, 2024, and 2023, respectively. Year-over-year changes in the effective tax rate were primarily driven by fluctuations in pretax income, including a pretax loss in 2025, and the resulting disproportionate impact of certain permanent items.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Income taxes paid, net of refunds received, were as follows for the year ended December 31, 2025 (ASU 2023-09 (Prospective Adoption)): </w:t>
      </w:r>
    </w:p>
    <w:tbl>
      <w:tblPr>
        <w:tblW w:w="4156" w:type="dxa"/>
        <w:jc w:val="left"/>
        <w:tblInd w:w="0" w:type="dxa"/>
        <w:tblLayout w:type="fixed"/>
        <w:tblCellMar>
          <w:top w:w="0" w:type="dxa"/>
          <w:left w:w="0" w:type="dxa"/>
          <w:bottom w:w="0" w:type="dxa"/>
          <w:right w:w="0" w:type="dxa"/>
        </w:tblCellMar>
      </w:tblPr>
      <w:tblGrid>
        <w:gridCol w:w="2851"/>
        <w:gridCol w:w="366"/>
        <w:gridCol w:w="939"/>
      </w:tblGrid>
      <w:tr>
        <w:trPr/>
        <w:tc>
          <w:tcPr>
            <w:tcW w:w="285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283"/>
              <w:jc w:val="left"/>
              <w:rPr>
                <w:sz w:val="4"/>
                <w:szCs w:val="4"/>
              </w:rPr>
            </w:pPr>
            <w:r>
              <w:rPr>
                <w:sz w:val="4"/>
                <w:szCs w:val="4"/>
              </w:rPr>
            </w:r>
          </w:p>
        </w:tc>
        <w:tc>
          <w:tcPr>
            <w:tcW w:w="1305"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r>
      <w:tr>
        <w:trPr/>
        <w:tc>
          <w:tcPr>
            <w:tcW w:w="2851" w:type="dxa"/>
            <w:tcBorders/>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8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Federal</w:t>
            </w:r>
          </w:p>
        </w:tc>
        <w:tc>
          <w:tcPr>
            <w:tcW w:w="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469</w:t>
            </w:r>
          </w:p>
        </w:tc>
      </w:tr>
      <w:tr>
        <w:trPr/>
        <w:tc>
          <w:tcPr>
            <w:tcW w:w="28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State and local:</w:t>
            </w:r>
          </w:p>
        </w:tc>
        <w:tc>
          <w:tcPr>
            <w:tcW w:w="36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Illinois</w:t>
            </w:r>
          </w:p>
        </w:tc>
        <w:tc>
          <w:tcPr>
            <w:tcW w:w="366"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93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w:t>
            </w:r>
          </w:p>
        </w:tc>
      </w:tr>
      <w:tr>
        <w:trPr/>
        <w:tc>
          <w:tcPr>
            <w:tcW w:w="285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Texas</w:t>
            </w:r>
          </w:p>
        </w:tc>
        <w:tc>
          <w:tcPr>
            <w:tcW w:w="366" w:type="dxa"/>
            <w:tcBorders/>
            <w:vAlign w:val="center"/>
          </w:tcPr>
          <w:p>
            <w:pPr>
              <w:pStyle w:val="TableContents"/>
              <w:bidi w:val="0"/>
              <w:spacing w:before="0" w:after="283"/>
              <w:ind w:left="115" w:right="0" w:hanging="0"/>
              <w:jc w:val="left"/>
              <w:rPr>
                <w:sz w:val="4"/>
                <w:szCs w:val="4"/>
              </w:rPr>
            </w:pPr>
            <w:r>
              <w:rPr>
                <w:sz w:val="4"/>
                <w:szCs w:val="4"/>
              </w:rPr>
            </w:r>
          </w:p>
        </w:tc>
        <w:tc>
          <w:tcPr>
            <w:tcW w:w="93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w:t>
            </w:r>
          </w:p>
        </w:tc>
      </w:tr>
      <w:tr>
        <w:trPr/>
        <w:tc>
          <w:tcPr>
            <w:tcW w:w="285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state and local jurisdictions</w:t>
            </w:r>
          </w:p>
        </w:tc>
        <w:tc>
          <w:tcPr>
            <w:tcW w:w="366"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93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r>
      <w:tr>
        <w:trPr/>
        <w:tc>
          <w:tcPr>
            <w:tcW w:w="28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w:t>
            </w:r>
          </w:p>
        </w:tc>
        <w:tc>
          <w:tcPr>
            <w:tcW w:w="3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9"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8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Income taxes paid</w:t>
            </w:r>
          </w:p>
        </w:tc>
        <w:tc>
          <w:tcPr>
            <w:tcW w:w="36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597</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Components of net deferred income taxes were as follows at December 31:</w:t>
      </w:r>
    </w:p>
    <w:tbl>
      <w:tblPr>
        <w:tblW w:w="5212" w:type="dxa"/>
        <w:jc w:val="left"/>
        <w:tblInd w:w="0" w:type="dxa"/>
        <w:tblLayout w:type="fixed"/>
        <w:tblCellMar>
          <w:top w:w="0" w:type="dxa"/>
          <w:left w:w="0" w:type="dxa"/>
          <w:bottom w:w="0" w:type="dxa"/>
          <w:right w:w="0" w:type="dxa"/>
        </w:tblCellMar>
      </w:tblPr>
      <w:tblGrid>
        <w:gridCol w:w="3031"/>
        <w:gridCol w:w="109"/>
        <w:gridCol w:w="211"/>
        <w:gridCol w:w="748"/>
        <w:gridCol w:w="109"/>
        <w:gridCol w:w="211"/>
        <w:gridCol w:w="793"/>
      </w:tblGrid>
      <w:tr>
        <w:trPr/>
        <w:tc>
          <w:tcPr>
            <w:tcW w:w="3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r>
      <w:tr>
        <w:trPr/>
        <w:tc>
          <w:tcPr>
            <w:tcW w:w="3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2" w:type="dxa"/>
            <w:gridSpan w:val="5"/>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w:t>
            </w:r>
          </w:p>
        </w:tc>
      </w:tr>
      <w:tr>
        <w:trPr/>
        <w:tc>
          <w:tcPr>
            <w:tcW w:w="3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income tax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Section 743 carryforward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4,388</w:t>
            </w:r>
          </w:p>
        </w:tc>
      </w:tr>
      <w:tr>
        <w:trPr/>
        <w:tc>
          <w:tcPr>
            <w:tcW w:w="303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1,666</w:t>
            </w:r>
          </w:p>
        </w:tc>
      </w:tr>
      <w:tr>
        <w:trPr/>
        <w:tc>
          <w:tcPr>
            <w:tcW w:w="303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34,721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36,851</w:t>
            </w:r>
          </w:p>
        </w:tc>
      </w:tr>
      <w:tr>
        <w:trPr/>
        <w:tc>
          <w:tcPr>
            <w:tcW w:w="303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2,598</w:t>
            </w:r>
          </w:p>
        </w:tc>
      </w:tr>
      <w:tr>
        <w:trPr/>
        <w:tc>
          <w:tcPr>
            <w:tcW w:w="303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deferred income tax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44,375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45,503</w:t>
            </w:r>
          </w:p>
        </w:tc>
      </w:tr>
      <w:tr>
        <w:trPr/>
        <w:tc>
          <w:tcPr>
            <w:tcW w:w="3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income tax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2,491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3,635</w:t>
            </w:r>
          </w:p>
        </w:tc>
      </w:tr>
      <w:tr>
        <w:trPr/>
        <w:tc>
          <w:tcPr>
            <w:tcW w:w="303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right-of-use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34,582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36,418</w:t>
            </w:r>
          </w:p>
        </w:tc>
      </w:tr>
      <w:tr>
        <w:trPr/>
        <w:tc>
          <w:tcPr>
            <w:tcW w:w="303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560</w:t>
            </w:r>
          </w:p>
        </w:tc>
      </w:tr>
      <w:tr>
        <w:trPr/>
        <w:tc>
          <w:tcPr>
            <w:tcW w:w="303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deferred income tax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37,821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40,613</w:t>
            </w:r>
          </w:p>
        </w:tc>
      </w:tr>
      <w:tr>
        <w:trPr/>
        <w:tc>
          <w:tcPr>
            <w:tcW w:w="303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deferred income tax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4,890</w:t>
            </w:r>
          </w:p>
        </w:tc>
      </w:tr>
    </w:tbl>
    <w:p>
      <w:pPr>
        <w:pStyle w:val="TextBody"/>
        <w:bidi w:val="0"/>
        <w:spacing w:lineRule="auto" w:line="259"/>
        <w:rPr>
          <w:rFonts w:ascii="Times New Roman;serif" w:hAnsi="Times New Roman;serif"/>
          <w:sz w:val="20"/>
        </w:rPr>
      </w:pPr>
      <w:bookmarkStart w:id="113" w:name="_Hlk127196643"/>
      <w:bookmarkEnd w:id="113"/>
      <w:r>
        <w:rPr>
          <w:rFonts w:ascii="Times New Roman;serif" w:hAnsi="Times New Roman;serif"/>
          <w:b w:val="false"/>
          <w:i w:val="false"/>
          <w:caps w:val="false"/>
          <w:smallCaps w:val="false"/>
          <w:sz w:val="20"/>
        </w:rPr>
        <w:t>As of December 31, 2025, the Company had tax effected net operating loss carryforwards of approximately $1.4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$0.6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federal and state tax purposes, respectively. The federal attributes have an indefinite carryforward period and the state attributes have a carryforward period ranging from five years to indefinitely.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closed its foreign operations in 2024 and, as such, there are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foreign unremitted earnings as of December 31, 2025 or 2024.</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records interest and penalties through income tax expense relating to uncertain tax positions. As of December 31, 2025, 2024 and 2023, the Company has not recognized any liabilities for uncertain tax positions nor has the Company accrued interest and penalties related to uncertain tax positions.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shd w:fill="FFFFFF" w:val="clear"/>
        </w:rPr>
        <w:t>The Company's federal, state, and foreign income tax returns are subject to audit. The Company is not currently under audit by federal or foreign taxing authorities. During 2024, the Minnesota Department of Revenue commenced an audit of the 2020, 2021, and 2022 tax years; the audit remains open. The years open to examination include years ending 2022 to 2024 for federal income tax purposes, years ending 2020 to 2024 for state income tax purposes, and years ending 2021 to 2024 for foreign income tax purposes.</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bookmarkStart w:id="114" w:name="_Hlk190167383"/>
      <w:bookmarkEnd w:id="114"/>
      <w:r>
        <w:rPr>
          <w:rFonts w:ascii="Times New Roman;serif" w:hAnsi="Times New Roman;serif"/>
          <w:b/>
          <w:i w:val="false"/>
          <w:caps w:val="false"/>
          <w:smallCaps w:val="false"/>
          <w:sz w:val="20"/>
        </w:rPr>
        <w:t>Note 11: Segments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Company’s Chief Executive Officer is the Chief Operating Decision Maker (“CODM”). The CODM utilizes the Company’s annual budget planning process, which includes Company-wide initiatives, as a key input to resource allocation. The CODM makes decisions on resource allocation and evaluates financial performance on a total Company basis; therefore, the Company has one</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reportable segment. The Company earns most of their revenue in the United States. Long-lived assets, which consist of property and equipment, net and operating lease right of use assets, are all located in the United States.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concluded that consolidated net (loss) income is the measure of segment profitability. The following table presents the Company’s segment revenue and gross profit, significant segment expenses, segment (loss) income from operations and net (loss) income provided to the CODM:</w:t>
      </w:r>
    </w:p>
    <w:tbl>
      <w:tblPr>
        <w:tblW w:w="8155" w:type="dxa"/>
        <w:jc w:val="left"/>
        <w:tblInd w:w="0" w:type="dxa"/>
        <w:tblLayout w:type="fixed"/>
        <w:tblCellMar>
          <w:top w:w="0" w:type="dxa"/>
          <w:left w:w="0" w:type="dxa"/>
          <w:bottom w:w="0" w:type="dxa"/>
          <w:right w:w="0" w:type="dxa"/>
        </w:tblCellMar>
      </w:tblPr>
      <w:tblGrid>
        <w:gridCol w:w="4591"/>
        <w:gridCol w:w="109"/>
        <w:gridCol w:w="211"/>
        <w:gridCol w:w="853"/>
        <w:gridCol w:w="109"/>
        <w:gridCol w:w="211"/>
        <w:gridCol w:w="853"/>
        <w:gridCol w:w="109"/>
        <w:gridCol w:w="211"/>
        <w:gridCol w:w="898"/>
      </w:tblGrid>
      <w:tr>
        <w:trPr/>
        <w:tc>
          <w:tcPr>
            <w:tcW w:w="4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4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r>
      <w:tr>
        <w:trPr/>
        <w:tc>
          <w:tcPr>
            <w:tcW w:w="4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336,820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347,071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377,146</w:t>
            </w:r>
          </w:p>
        </w:tc>
      </w:tr>
      <w:tr>
        <w:trPr/>
        <w:tc>
          <w:tcPr>
            <w:tcW w:w="4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121,800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119,197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134,085</w:t>
            </w:r>
          </w:p>
        </w:tc>
      </w:tr>
      <w:tr>
        <w:trPr/>
        <w:tc>
          <w:tcPr>
            <w:tcW w:w="4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215,020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227,874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243,061</w:t>
            </w:r>
          </w:p>
        </w:tc>
      </w:tr>
      <w:tr>
        <w:trPr/>
        <w:tc>
          <w:tcPr>
            <w:tcW w:w="4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1,392</w:t>
            </w:r>
          </w:p>
        </w:tc>
      </w:tr>
      <w:tr>
        <w:trPr/>
        <w:tc>
          <w:tcPr>
            <w:tcW w:w="4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21,229</w:t>
            </w:r>
          </w:p>
        </w:tc>
      </w:tr>
      <w:tr>
        <w:trPr/>
        <w:tc>
          <w:tcPr>
            <w:tcW w:w="4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Adjusted 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203,579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205,260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204,282</w:t>
            </w:r>
          </w:p>
        </w:tc>
      </w:tr>
      <w:tr>
        <w:trPr/>
        <w:tc>
          <w:tcPr>
            <w:tcW w:w="4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16,158</w:t>
            </w:r>
          </w:p>
        </w:tc>
      </w:tr>
      <w:tr>
        <w:trPr/>
        <w:tc>
          <w:tcPr>
            <w:tcW w:w="4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(2,164)</w:t>
            </w:r>
          </w:p>
        </w:tc>
      </w:tr>
      <w:tr>
        <w:trPr/>
        <w:tc>
          <w:tcPr>
            <w:tcW w:w="4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13,994</w:t>
            </w:r>
          </w:p>
        </w:tc>
      </w:tr>
      <w:tr>
        <w:trPr/>
        <w:tc>
          <w:tcPr>
            <w:tcW w:w="4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(3,923)</w:t>
            </w:r>
          </w:p>
        </w:tc>
      </w:tr>
      <w:tr>
        <w:trPr/>
        <w:tc>
          <w:tcPr>
            <w:tcW w:w="459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(loss)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10,071</w:t>
            </w:r>
          </w:p>
        </w:tc>
      </w:tr>
      <w:tr>
        <w:trPr/>
        <w:tc>
          <w:tcPr>
            <w:tcW w:w="4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5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5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9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*Exclusive of stock based compensation and depreciation and amortization shown separately.</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12: Retirement Savings Plan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has a 401(k) profit sharing plan covering substantially all full-time employees. Employee contributions are limited to the maximum amount allowable by the Internal Revenue Code. The Company matched employee contributions of $1.6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$1.7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2025, 2024 and 2023, respectively. The Company made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discretionary contributions for any of the years presented.</w:t>
      </w:r>
    </w:p>
    <w:p>
      <w:pPr>
        <w:pStyle w:val="TextBody"/>
        <w:bidi w:val="0"/>
        <w:spacing w:lineRule="auto" w:line="259"/>
        <w:ind w:left="0" w:right="302"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Note 13: Quarterly Financial Data (Unaudited) </w:t>
      </w:r>
    </w:p>
    <w:p>
      <w:pPr>
        <w:pStyle w:val="TextBody"/>
        <w:bidi w:val="0"/>
        <w:spacing w:lineRule="auto" w:line="259"/>
        <w:ind w:left="0" w:right="302"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Quarterly results of operations for the years ended December 31, 2025 and 2024 are summarized below (in thousands, except per share amounts):</w:t>
      </w:r>
    </w:p>
    <w:tbl>
      <w:tblPr>
        <w:tblW w:w="8147" w:type="dxa"/>
        <w:jc w:val="left"/>
        <w:tblInd w:w="0" w:type="dxa"/>
        <w:tblLayout w:type="fixed"/>
        <w:tblCellMar>
          <w:top w:w="0" w:type="dxa"/>
          <w:left w:w="0" w:type="dxa"/>
          <w:bottom w:w="0" w:type="dxa"/>
          <w:right w:w="0" w:type="dxa"/>
        </w:tblCellMar>
      </w:tblPr>
      <w:tblGrid>
        <w:gridCol w:w="2716"/>
        <w:gridCol w:w="109"/>
        <w:gridCol w:w="244"/>
        <w:gridCol w:w="866"/>
        <w:gridCol w:w="109"/>
        <w:gridCol w:w="171"/>
        <w:gridCol w:w="1179"/>
        <w:gridCol w:w="109"/>
        <w:gridCol w:w="150"/>
        <w:gridCol w:w="1050"/>
        <w:gridCol w:w="109"/>
        <w:gridCol w:w="158"/>
        <w:gridCol w:w="1177"/>
      </w:tblGrid>
      <w:tr>
        <w:trPr/>
        <w:tc>
          <w:tcPr>
            <w:tcW w:w="2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2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2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Second Quarter</w:t>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Third Quarter</w:t>
            </w:r>
          </w:p>
        </w:tc>
        <w:tc>
          <w:tcPr>
            <w:tcW w:w="109" w:type="dxa"/>
            <w:tcBorders/>
            <w:vAlign w:val="center"/>
          </w:tcPr>
          <w:p>
            <w:pPr>
              <w:pStyle w:val="TableContents"/>
              <w:bidi w:val="0"/>
              <w:spacing w:before="0" w:after="283"/>
              <w:jc w:val="left"/>
              <w:rPr>
                <w:sz w:val="4"/>
                <w:szCs w:val="4"/>
              </w:rPr>
            </w:pPr>
            <w:r>
              <w:rPr>
                <w:sz w:val="4"/>
                <w:szCs w:val="4"/>
              </w:rPr>
            </w:r>
          </w:p>
        </w:tc>
        <w:tc>
          <w:tcPr>
            <w:tcW w:w="1335"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Fourth Quarter</w:t>
            </w:r>
          </w:p>
        </w:tc>
      </w:tr>
      <w:tr>
        <w:trPr/>
        <w:tc>
          <w:tcPr>
            <w:tcW w:w="2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2" w:type="dxa"/>
            <w:gridSpan w:val="11"/>
            <w:tcBorders/>
            <w:vAlign w:val="center"/>
          </w:tcPr>
          <w:p>
            <w:pPr>
              <w:pStyle w:val="TableContents"/>
              <w:bidi w:val="0"/>
              <w:spacing w:before="0" w:after="283"/>
              <w:jc w:val="left"/>
              <w:rPr>
                <w:sz w:val="4"/>
                <w:szCs w:val="4"/>
              </w:rPr>
            </w:pPr>
            <w:r>
              <w:rPr>
                <w:sz w:val="4"/>
                <w:szCs w:val="4"/>
              </w:rPr>
            </w:r>
          </w:p>
        </w:tc>
      </w:tr>
      <w:tr>
        <w:trPr/>
        <w:tc>
          <w:tcPr>
            <w:tcW w:w="271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88,009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88,260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83,064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17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77,487</w:t>
            </w:r>
          </w:p>
        </w:tc>
      </w:tr>
      <w:tr>
        <w:trPr/>
        <w:tc>
          <w:tcPr>
            <w:tcW w:w="27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58,070</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56,841</w:t>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52,279</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47,830</w:t>
            </w:r>
          </w:p>
        </w:tc>
      </w:tr>
      <w:tr>
        <w:trPr/>
        <w:tc>
          <w:tcPr>
            <w:tcW w:w="27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(loss)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86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17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(4,471)</w:t>
            </w:r>
          </w:p>
        </w:tc>
      </w:tr>
      <w:tr>
        <w:trPr/>
        <w:tc>
          <w:tcPr>
            <w:tcW w:w="27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172</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392</w:t>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(3,444)</w:t>
            </w:r>
          </w:p>
        </w:tc>
      </w:tr>
      <w:tr>
        <w:trPr/>
        <w:tc>
          <w:tcPr>
            <w:tcW w:w="27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86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17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(0.08)</w:t>
            </w:r>
          </w:p>
        </w:tc>
      </w:tr>
      <w:tr>
        <w:trPr/>
        <w:tc>
          <w:tcPr>
            <w:tcW w:w="27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0.00</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0.01</w:t>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(0.08)</w:t>
            </w:r>
          </w:p>
        </w:tc>
      </w:tr>
      <w:tr>
        <w:trPr/>
        <w:tc>
          <w:tcPr>
            <w:tcW w:w="27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86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177" w:type="dxa"/>
            <w:tcBorders/>
            <w:shd w:fill="CCEEFF" w:val="clear"/>
            <w:vAlign w:val="center"/>
          </w:tcPr>
          <w:p>
            <w:pPr>
              <w:pStyle w:val="TableContents"/>
              <w:bidi w:val="0"/>
              <w:spacing w:before="0" w:after="283"/>
              <w:jc w:val="left"/>
              <w:rPr>
                <w:sz w:val="4"/>
                <w:szCs w:val="4"/>
              </w:rPr>
            </w:pPr>
            <w:r>
              <w:rPr>
                <w:sz w:val="4"/>
                <w:szCs w:val="4"/>
              </w:rPr>
            </w:r>
          </w:p>
        </w:tc>
      </w:tr>
      <w:tr>
        <w:trPr/>
        <w:tc>
          <w:tcPr>
            <w:tcW w:w="271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91,728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91,384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84,505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17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79,454</w:t>
            </w:r>
          </w:p>
        </w:tc>
      </w:tr>
      <w:tr>
        <w:trPr/>
        <w:tc>
          <w:tcPr>
            <w:tcW w:w="27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60,319</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60,331</w:t>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56,228</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50,996</w:t>
            </w:r>
          </w:p>
        </w:tc>
      </w:tr>
      <w:tr>
        <w:trPr/>
        <w:tc>
          <w:tcPr>
            <w:tcW w:w="27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(loss)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86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17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(867)</w:t>
            </w:r>
          </w:p>
        </w:tc>
      </w:tr>
      <w:tr>
        <w:trPr/>
        <w:tc>
          <w:tcPr>
            <w:tcW w:w="27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1,689</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1,219</w:t>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(628)</w:t>
            </w:r>
          </w:p>
        </w:tc>
      </w:tr>
      <w:tr>
        <w:trPr/>
        <w:tc>
          <w:tcPr>
            <w:tcW w:w="27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86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17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(0.01)</w:t>
            </w:r>
          </w:p>
        </w:tc>
      </w:tr>
      <w:tr>
        <w:trPr/>
        <w:tc>
          <w:tcPr>
            <w:tcW w:w="27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0.04</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0.03</w:t>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(0.01)</w:t>
            </w:r>
          </w:p>
        </w:tc>
      </w:tr>
      <w:tr>
        <w:trPr/>
        <w:tc>
          <w:tcPr>
            <w:tcW w:w="2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ind w:left="0" w:right="72" w:hanging="0"/>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ind w:left="0" w:right="72" w:hanging="0"/>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ind w:left="0" w:right="72" w:hanging="0"/>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ind w:left="0" w:right="72" w:hanging="0"/>
              <w:jc w:val="left"/>
              <w:rPr>
                <w:sz w:val="4"/>
                <w:szCs w:val="4"/>
              </w:rPr>
            </w:pPr>
            <w:r>
              <w:rPr>
                <w:sz w:val="4"/>
                <w:szCs w:val="4"/>
              </w:rPr>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14: Subsequent Events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February 2026, the Company sold its distribution center in Wisconsin for a total cash consideration of $1.2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The distribution center was classified as held for sale within other current assets, net in the consolidated balance sheet as of December 31, 2025, with a net book value of $0.4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The sale resulted in a gain of $0.8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which will be recognized in the first quarter of 2026.</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w:t>
      </w:r>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EXHIBIT INDEX</w:t>
      </w:r>
    </w:p>
    <w:tbl>
      <w:tblPr>
        <w:tblW w:w="10205" w:type="dxa"/>
        <w:jc w:val="left"/>
        <w:tblInd w:w="0" w:type="dxa"/>
        <w:tblLayout w:type="fixed"/>
        <w:tblCellMar>
          <w:top w:w="0" w:type="dxa"/>
          <w:left w:w="0" w:type="dxa"/>
          <w:bottom w:w="0" w:type="dxa"/>
          <w:right w:w="0" w:type="dxa"/>
        </w:tblCellMar>
      </w:tblPr>
      <w:tblGrid>
        <w:gridCol w:w="869"/>
        <w:gridCol w:w="9336"/>
      </w:tblGrid>
      <w:tr>
        <w:trPr/>
        <w:tc>
          <w:tcPr>
            <w:tcW w:w="869" w:type="dxa"/>
            <w:tcBorders/>
            <w:vAlign w:val="center"/>
          </w:tcPr>
          <w:p>
            <w:pPr>
              <w:pStyle w:val="TableContents"/>
              <w:bidi w:val="0"/>
              <w:spacing w:before="0" w:after="283"/>
              <w:jc w:val="left"/>
              <w:rPr>
                <w:sz w:val="4"/>
                <w:szCs w:val="4"/>
              </w:rPr>
            </w:pPr>
            <w:r>
              <w:rPr>
                <w:sz w:val="4"/>
                <w:szCs w:val="4"/>
              </w:rPr>
            </w:r>
          </w:p>
        </w:tc>
        <w:tc>
          <w:tcPr>
            <w:tcW w:w="9336" w:type="dxa"/>
            <w:tcBorders/>
            <w:vAlign w:val="center"/>
          </w:tcPr>
          <w:p>
            <w:pPr>
              <w:pStyle w:val="TableContents"/>
              <w:bidi w:val="0"/>
              <w:spacing w:before="0" w:after="283"/>
              <w:jc w:val="left"/>
              <w:rPr>
                <w:sz w:val="4"/>
                <w:szCs w:val="4"/>
              </w:rPr>
            </w:pPr>
            <w:r>
              <w:rPr>
                <w:sz w:val="4"/>
                <w:szCs w:val="4"/>
              </w:rPr>
            </w:r>
          </w:p>
        </w:tc>
      </w:tr>
      <w:tr>
        <w:trPr/>
        <w:tc>
          <w:tcPr>
            <w:tcW w:w="869" w:type="dxa"/>
            <w:tcBorders/>
            <w:vAlign w:val="center"/>
          </w:tcPr>
          <w:p>
            <w:pPr>
              <w:pStyle w:val="TableContents"/>
              <w:bidi w:val="0"/>
              <w:spacing w:lineRule="auto" w:line="254"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Exhibit No.</w:t>
            </w:r>
          </w:p>
        </w:tc>
        <w:tc>
          <w:tcPr>
            <w:tcW w:w="9336" w:type="dxa"/>
            <w:tcBorders/>
            <w:vAlign w:val="center"/>
          </w:tcPr>
          <w:p>
            <w:pPr>
              <w:pStyle w:val="TableContents"/>
              <w:bidi w:val="0"/>
              <w:spacing w:lineRule="auto" w:line="254"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Description</w:t>
            </w:r>
          </w:p>
        </w:tc>
      </w:tr>
      <w:tr>
        <w:trPr/>
        <w:tc>
          <w:tcPr>
            <w:tcW w:w="869" w:type="dxa"/>
            <w:tcBorders/>
            <w:shd w:fill="CCEEFF" w:val="clear"/>
            <w:vAlign w:val="center"/>
          </w:tcPr>
          <w:p>
            <w:pPr>
              <w:pStyle w:val="TableContents"/>
              <w:bidi w:val="0"/>
              <w:spacing w:lineRule="auto" w:line="254" w:before="0" w:after="283"/>
              <w:jc w:val="center"/>
              <w:rPr/>
            </w:pPr>
            <w:hyperlink r:id="rId3">
              <w:r>
                <w:rPr>
                  <w:rStyle w:val="InternetLink"/>
                  <w:rFonts w:ascii="Times New Roman;serif" w:hAnsi="Times New Roman;serif"/>
                  <w:b w:val="false"/>
                  <w:i w:val="false"/>
                  <w:caps w:val="false"/>
                  <w:smallCaps w:val="false"/>
                  <w:color w:val="0000EE"/>
                  <w:sz w:val="20"/>
                  <w:u w:val="single"/>
                </w:rPr>
                <w:t>3.1</w:t>
              </w:r>
            </w:hyperlink>
          </w:p>
        </w:tc>
        <w:tc>
          <w:tcPr>
            <w:tcW w:w="9336" w:type="dxa"/>
            <w:tcBorders/>
            <w:shd w:fill="CCEEFF" w:val="clear"/>
            <w:vAlign w:val="center"/>
          </w:tcPr>
          <w:p>
            <w:pPr>
              <w:pStyle w:val="TableContents"/>
              <w:bidi w:val="0"/>
              <w:spacing w:lineRule="auto" w:line="254" w:before="0" w:after="283"/>
              <w:jc w:val="left"/>
              <w:rPr/>
            </w:pPr>
            <w:hyperlink r:id="rId4">
              <w:r>
                <w:rPr>
                  <w:rStyle w:val="InternetLink"/>
                  <w:rFonts w:ascii="Times New Roman;serif" w:hAnsi="Times New Roman;serif"/>
                  <w:b w:val="false"/>
                  <w:i w:val="false"/>
                  <w:caps w:val="false"/>
                  <w:smallCaps w:val="false"/>
                  <w:color w:val="0000EE"/>
                  <w:sz w:val="20"/>
                  <w:u w:val="single"/>
                </w:rPr>
                <w:t>Certificate of Incorporation of Tile Shop Holdings, Inc. – incorporated by reference to Exhibit 3.1 to the Company’s Form S-4 (Reg. No. 333-182482) dated July 2, 2012.</w:t>
              </w:r>
            </w:hyperlink>
          </w:p>
        </w:tc>
      </w:tr>
      <w:tr>
        <w:trPr/>
        <w:tc>
          <w:tcPr>
            <w:tcW w:w="869" w:type="dxa"/>
            <w:tcBorders/>
            <w:vAlign w:val="center"/>
          </w:tcPr>
          <w:p>
            <w:pPr>
              <w:pStyle w:val="TableContents"/>
              <w:bidi w:val="0"/>
              <w:spacing w:lineRule="auto" w:line="254" w:before="0" w:after="283"/>
              <w:jc w:val="center"/>
              <w:rPr/>
            </w:pPr>
            <w:hyperlink r:id="rId5">
              <w:r>
                <w:rPr>
                  <w:rStyle w:val="InternetLink"/>
                  <w:rFonts w:ascii="Times New Roman;serif" w:hAnsi="Times New Roman;serif"/>
                  <w:b w:val="false"/>
                  <w:i w:val="false"/>
                  <w:caps w:val="false"/>
                  <w:smallCaps w:val="false"/>
                  <w:color w:val="0000FF"/>
                  <w:sz w:val="20"/>
                  <w:u w:val="single"/>
                </w:rPr>
                <w:t>3.2</w:t>
              </w:r>
            </w:hyperlink>
          </w:p>
        </w:tc>
        <w:tc>
          <w:tcPr>
            <w:tcW w:w="9336" w:type="dxa"/>
            <w:tcBorders/>
            <w:vAlign w:val="center"/>
          </w:tcPr>
          <w:p>
            <w:pPr>
              <w:pStyle w:val="TableContents"/>
              <w:bidi w:val="0"/>
              <w:spacing w:lineRule="auto" w:line="254" w:before="0" w:after="283"/>
              <w:jc w:val="left"/>
              <w:rPr/>
            </w:pPr>
            <w:hyperlink r:id="rId6">
              <w:r>
                <w:rPr>
                  <w:rStyle w:val="InternetLink"/>
                  <w:rFonts w:ascii="Times New Roman;serif" w:hAnsi="Times New Roman;serif"/>
                  <w:b w:val="false"/>
                  <w:i w:val="false"/>
                  <w:caps w:val="false"/>
                  <w:smallCaps w:val="false"/>
                  <w:color w:val="0000FF"/>
                  <w:sz w:val="20"/>
                  <w:u w:val="single"/>
                </w:rPr>
                <w:t>Certificate of Amendment to the Certificate of Incorporation of Tile Shop Holdings, Inc. – incorporated by reference to Exhibit 3.2 to the Company’s Current Report on Form 8-K filed July 21, 2021.</w:t>
              </w:r>
            </w:hyperlink>
          </w:p>
        </w:tc>
      </w:tr>
      <w:tr>
        <w:trPr/>
        <w:tc>
          <w:tcPr>
            <w:tcW w:w="869" w:type="dxa"/>
            <w:tcBorders/>
            <w:shd w:fill="CCEEFF" w:val="clear"/>
            <w:vAlign w:val="center"/>
          </w:tcPr>
          <w:p>
            <w:pPr>
              <w:pStyle w:val="TableContents"/>
              <w:bidi w:val="0"/>
              <w:spacing w:lineRule="auto" w:line="254" w:before="0" w:after="283"/>
              <w:jc w:val="center"/>
              <w:rPr/>
            </w:pPr>
            <w:hyperlink r:id="rId7">
              <w:r>
                <w:rPr>
                  <w:rStyle w:val="InternetLink"/>
                  <w:rFonts w:ascii="Times New Roman;serif" w:hAnsi="Times New Roman;serif"/>
                  <w:b w:val="false"/>
                  <w:i w:val="false"/>
                  <w:caps w:val="false"/>
                  <w:smallCaps w:val="false"/>
                  <w:color w:val="0000FF"/>
                  <w:sz w:val="20"/>
                  <w:u w:val="single"/>
                </w:rPr>
                <w:t>3.3</w:t>
              </w:r>
            </w:hyperlink>
          </w:p>
        </w:tc>
        <w:tc>
          <w:tcPr>
            <w:tcW w:w="9336" w:type="dxa"/>
            <w:tcBorders/>
            <w:shd w:fill="CCEEFF" w:val="clear"/>
            <w:vAlign w:val="center"/>
          </w:tcPr>
          <w:p>
            <w:pPr>
              <w:pStyle w:val="TableContents"/>
              <w:bidi w:val="0"/>
              <w:spacing w:lineRule="auto" w:line="254" w:before="0" w:after="283"/>
              <w:jc w:val="left"/>
              <w:rPr/>
            </w:pPr>
            <w:hyperlink r:id="rId8">
              <w:r>
                <w:rPr>
                  <w:rStyle w:val="InternetLink"/>
                  <w:rFonts w:ascii="Times New Roman;serif" w:hAnsi="Times New Roman;serif"/>
                  <w:b w:val="false"/>
                  <w:i w:val="false"/>
                  <w:caps w:val="false"/>
                  <w:smallCaps w:val="false"/>
                  <w:color w:val="0000FF"/>
                  <w:sz w:val="20"/>
                  <w:u w:val="single"/>
                </w:rPr>
                <w:t>Certificate of Amendment to the Certificate of Incorporation of Tile Shop Holdings, Inc. to effect the 1-for-3,000 Reverse Stock Split, effective on December 15, 2025 – incorporated by reference to Exhibit 3.1 to the Company’s Current Report on Form 8-K filed December 15, 2025.</w:t>
              </w:r>
            </w:hyperlink>
          </w:p>
        </w:tc>
      </w:tr>
      <w:tr>
        <w:trPr/>
        <w:tc>
          <w:tcPr>
            <w:tcW w:w="869" w:type="dxa"/>
            <w:tcBorders/>
            <w:vAlign w:val="center"/>
          </w:tcPr>
          <w:p>
            <w:pPr>
              <w:pStyle w:val="TableContents"/>
              <w:bidi w:val="0"/>
              <w:spacing w:lineRule="auto" w:line="254" w:before="0" w:after="283"/>
              <w:jc w:val="center"/>
              <w:rPr/>
            </w:pPr>
            <w:hyperlink r:id="rId9">
              <w:r>
                <w:rPr>
                  <w:rStyle w:val="InternetLink"/>
                  <w:rFonts w:ascii="Times New Roman;serif" w:hAnsi="Times New Roman;serif"/>
                  <w:b w:val="false"/>
                  <w:i w:val="false"/>
                  <w:caps w:val="false"/>
                  <w:smallCaps w:val="false"/>
                  <w:color w:val="0000FF"/>
                  <w:sz w:val="20"/>
                  <w:u w:val="single"/>
                </w:rPr>
                <w:t>3.4</w:t>
              </w:r>
            </w:hyperlink>
          </w:p>
        </w:tc>
        <w:tc>
          <w:tcPr>
            <w:tcW w:w="9336" w:type="dxa"/>
            <w:tcBorders/>
            <w:vAlign w:val="center"/>
          </w:tcPr>
          <w:p>
            <w:pPr>
              <w:pStyle w:val="TableContents"/>
              <w:bidi w:val="0"/>
              <w:spacing w:lineRule="auto" w:line="254" w:before="0" w:after="283"/>
              <w:jc w:val="left"/>
              <w:rPr/>
            </w:pPr>
            <w:hyperlink r:id="rId10">
              <w:r>
                <w:rPr>
                  <w:rStyle w:val="InternetLink"/>
                  <w:rFonts w:ascii="Times New Roman;serif" w:hAnsi="Times New Roman;serif"/>
                  <w:b w:val="false"/>
                  <w:i w:val="false"/>
                  <w:caps w:val="false"/>
                  <w:smallCaps w:val="false"/>
                  <w:color w:val="0000FF"/>
                  <w:sz w:val="20"/>
                  <w:u w:val="single"/>
                </w:rPr>
                <w:t>Certificate of Amendment to the Certificate of Incorporation of Tile Shop Holdings, Inc. to effect the 3,000-for-1 Forward Stock Split, effective on December 15, 2025 – incorporated by reference to Exhibit 3.2 to the Company’s Current Report on Form 8-K filed December 15, 2025.</w:t>
              </w:r>
            </w:hyperlink>
          </w:p>
        </w:tc>
      </w:tr>
      <w:tr>
        <w:trPr/>
        <w:tc>
          <w:tcPr>
            <w:tcW w:w="869" w:type="dxa"/>
            <w:tcBorders/>
            <w:shd w:fill="CCEEFF" w:val="clear"/>
            <w:vAlign w:val="center"/>
          </w:tcPr>
          <w:p>
            <w:pPr>
              <w:pStyle w:val="TableContents"/>
              <w:bidi w:val="0"/>
              <w:spacing w:lineRule="auto" w:line="254" w:before="0" w:after="283"/>
              <w:jc w:val="center"/>
              <w:rPr/>
            </w:pPr>
            <w:hyperlink r:id="rId11">
              <w:r>
                <w:rPr>
                  <w:rStyle w:val="InternetLink"/>
                  <w:rFonts w:ascii="Times New Roman;serif" w:hAnsi="Times New Roman;serif"/>
                  <w:b w:val="false"/>
                  <w:i w:val="false"/>
                  <w:caps w:val="false"/>
                  <w:smallCaps w:val="false"/>
                  <w:color w:val="0000EE"/>
                  <w:sz w:val="20"/>
                  <w:u w:val="single"/>
                </w:rPr>
                <w:t>3.5</w:t>
              </w:r>
            </w:hyperlink>
          </w:p>
        </w:tc>
        <w:tc>
          <w:tcPr>
            <w:tcW w:w="9336" w:type="dxa"/>
            <w:tcBorders/>
            <w:shd w:fill="CCEEFF" w:val="clear"/>
            <w:vAlign w:val="center"/>
          </w:tcPr>
          <w:p>
            <w:pPr>
              <w:pStyle w:val="TableContents"/>
              <w:bidi w:val="0"/>
              <w:spacing w:lineRule="auto" w:line="254" w:before="0" w:after="283"/>
              <w:jc w:val="left"/>
              <w:rPr/>
            </w:pPr>
            <w:hyperlink r:id="rId12">
              <w:r>
                <w:rPr>
                  <w:rStyle w:val="InternetLink"/>
                  <w:rFonts w:ascii="Times New Roman;serif" w:hAnsi="Times New Roman;serif"/>
                  <w:b w:val="false"/>
                  <w:i w:val="false"/>
                  <w:caps w:val="false"/>
                  <w:smallCaps w:val="false"/>
                  <w:color w:val="0000EE"/>
                  <w:sz w:val="20"/>
                  <w:u w:val="single"/>
                </w:rPr>
                <w:t>Bylaws of Tile Shop Holdings, Inc. – incorporated by reference to Exhibit 3.2 to the Company’s Form S-4 (Reg. No. 333-182482) dated July 2, 2012.</w:t>
              </w:r>
            </w:hyperlink>
          </w:p>
        </w:tc>
      </w:tr>
      <w:tr>
        <w:trPr/>
        <w:tc>
          <w:tcPr>
            <w:tcW w:w="869" w:type="dxa"/>
            <w:tcBorders/>
            <w:vAlign w:val="center"/>
          </w:tcPr>
          <w:p>
            <w:pPr>
              <w:pStyle w:val="TableContents"/>
              <w:bidi w:val="0"/>
              <w:spacing w:lineRule="auto" w:line="254" w:before="0" w:after="283"/>
              <w:jc w:val="center"/>
              <w:rPr/>
            </w:pPr>
            <w:hyperlink r:id="rId13">
              <w:r>
                <w:rPr>
                  <w:rStyle w:val="InternetLink"/>
                  <w:rFonts w:ascii="Times New Roman;serif" w:hAnsi="Times New Roman;serif"/>
                  <w:b w:val="false"/>
                  <w:i w:val="false"/>
                  <w:caps w:val="false"/>
                  <w:smallCaps w:val="false"/>
                  <w:color w:val="0000EE"/>
                  <w:sz w:val="20"/>
                  <w:u w:val="single"/>
                </w:rPr>
                <w:t>4.1</w:t>
              </w:r>
            </w:hyperlink>
          </w:p>
        </w:tc>
        <w:tc>
          <w:tcPr>
            <w:tcW w:w="9336" w:type="dxa"/>
            <w:tcBorders/>
            <w:vAlign w:val="center"/>
          </w:tcPr>
          <w:p>
            <w:pPr>
              <w:pStyle w:val="TableContents"/>
              <w:bidi w:val="0"/>
              <w:spacing w:lineRule="auto" w:line="254" w:before="0" w:after="283"/>
              <w:jc w:val="left"/>
              <w:rPr/>
            </w:pPr>
            <w:hyperlink r:id="rId14">
              <w:r>
                <w:rPr>
                  <w:rStyle w:val="InternetLink"/>
                  <w:rFonts w:ascii="Times New Roman;serif" w:hAnsi="Times New Roman;serif"/>
                  <w:b w:val="false"/>
                  <w:i w:val="false"/>
                  <w:caps w:val="false"/>
                  <w:smallCaps w:val="false"/>
                  <w:color w:val="0000EE"/>
                  <w:sz w:val="20"/>
                  <w:u w:val="single"/>
                </w:rPr>
                <w:t>Specimen Common Stock Certificate – incorporated by reference to Exhibit 4.1 of Amendment No. 1 to the Company’s Form S-4 (Reg. No. 333-182482) dated July 23, 2012.</w:t>
              </w:r>
            </w:hyperlink>
          </w:p>
        </w:tc>
      </w:tr>
      <w:tr>
        <w:trPr/>
        <w:tc>
          <w:tcPr>
            <w:tcW w:w="869" w:type="dxa"/>
            <w:tcBorders/>
            <w:shd w:fill="CCEEFF" w:val="clear"/>
            <w:vAlign w:val="center"/>
          </w:tcPr>
          <w:p>
            <w:pPr>
              <w:pStyle w:val="TableContents"/>
              <w:bidi w:val="0"/>
              <w:spacing w:lineRule="auto" w:line="254" w:before="0" w:after="283"/>
              <w:jc w:val="center"/>
              <w:rPr/>
            </w:pPr>
            <w:hyperlink r:id="rId15">
              <w:r>
                <w:rPr>
                  <w:rStyle w:val="InternetLink"/>
                  <w:rFonts w:ascii="Times New Roman;serif" w:hAnsi="Times New Roman;serif"/>
                  <w:b w:val="false"/>
                  <w:i w:val="false"/>
                  <w:caps w:val="false"/>
                  <w:smallCaps w:val="false"/>
                  <w:color w:val="0000EE"/>
                  <w:sz w:val="20"/>
                  <w:u w:val="single"/>
                </w:rPr>
                <w:t>10.1*</w:t>
              </w:r>
            </w:hyperlink>
          </w:p>
        </w:tc>
        <w:tc>
          <w:tcPr>
            <w:tcW w:w="9336" w:type="dxa"/>
            <w:tcBorders/>
            <w:shd w:fill="CCEEFF" w:val="clear"/>
            <w:vAlign w:val="center"/>
          </w:tcPr>
          <w:p>
            <w:pPr>
              <w:pStyle w:val="TableContents"/>
              <w:bidi w:val="0"/>
              <w:spacing w:lineRule="auto" w:line="254" w:before="0" w:after="283"/>
              <w:jc w:val="left"/>
              <w:rPr/>
            </w:pPr>
            <w:hyperlink r:id="rId16">
              <w:r>
                <w:rPr>
                  <w:rStyle w:val="InternetLink"/>
                  <w:rFonts w:ascii="Times New Roman;serif" w:hAnsi="Times New Roman;serif"/>
                  <w:b w:val="false"/>
                  <w:i w:val="false"/>
                  <w:caps w:val="false"/>
                  <w:smallCaps w:val="false"/>
                  <w:color w:val="0000EE"/>
                  <w:sz w:val="20"/>
                  <w:u w:val="single"/>
                </w:rPr>
                <w:t>Tile Shop Holdings, Inc. 2012 Omnibus Award Plan (f/k/a 2012 Equity Award Plan) – incorporated by reference to Exhibit 10.1 to the Company’s Current Report on Form 8-K filed July 26, 2013.</w:t>
              </w:r>
            </w:hyperlink>
          </w:p>
        </w:tc>
      </w:tr>
      <w:tr>
        <w:trPr/>
        <w:tc>
          <w:tcPr>
            <w:tcW w:w="869" w:type="dxa"/>
            <w:tcBorders/>
            <w:vAlign w:val="center"/>
          </w:tcPr>
          <w:p>
            <w:pPr>
              <w:pStyle w:val="TableContents"/>
              <w:bidi w:val="0"/>
              <w:spacing w:lineRule="auto" w:line="254" w:before="0" w:after="283"/>
              <w:jc w:val="center"/>
              <w:rPr/>
            </w:pPr>
            <w:hyperlink r:id="rId17">
              <w:r>
                <w:rPr>
                  <w:rStyle w:val="InternetLink"/>
                  <w:rFonts w:ascii="Times New Roman;serif" w:hAnsi="Times New Roman;serif"/>
                  <w:b w:val="false"/>
                  <w:i w:val="false"/>
                  <w:caps w:val="false"/>
                  <w:smallCaps w:val="false"/>
                  <w:color w:val="0000EE"/>
                  <w:sz w:val="20"/>
                  <w:u w:val="single"/>
                </w:rPr>
                <w:t>10.2*</w:t>
              </w:r>
            </w:hyperlink>
          </w:p>
        </w:tc>
        <w:tc>
          <w:tcPr>
            <w:tcW w:w="9336" w:type="dxa"/>
            <w:tcBorders/>
            <w:vAlign w:val="center"/>
          </w:tcPr>
          <w:p>
            <w:pPr>
              <w:pStyle w:val="TableContents"/>
              <w:bidi w:val="0"/>
              <w:spacing w:lineRule="auto" w:line="254" w:before="0" w:after="283"/>
              <w:jc w:val="left"/>
              <w:rPr/>
            </w:pPr>
            <w:hyperlink r:id="rId18">
              <w:r>
                <w:rPr>
                  <w:rStyle w:val="InternetLink"/>
                  <w:rFonts w:ascii="Times New Roman;serif" w:hAnsi="Times New Roman;serif"/>
                  <w:b w:val="false"/>
                  <w:i w:val="false"/>
                  <w:caps w:val="false"/>
                  <w:smallCaps w:val="false"/>
                  <w:color w:val="0000FF"/>
                  <w:sz w:val="20"/>
                  <w:u w:val="single"/>
                </w:rPr>
                <w:t>Amended and Restated Amendment No. 1 to the Tile Shop Holdings, Inc. 2012 Omnibus Award Plan (f/k/a 2012 Equity Award Plan) – incorporated by reference to Exhibit 10.2 to the Company’s Current Report on Form 8-K filed July 26, 2013.</w:t>
              </w:r>
            </w:hyperlink>
          </w:p>
        </w:tc>
      </w:tr>
      <w:tr>
        <w:trPr/>
        <w:tc>
          <w:tcPr>
            <w:tcW w:w="869" w:type="dxa"/>
            <w:tcBorders/>
            <w:shd w:fill="CCEEFF" w:val="clear"/>
            <w:vAlign w:val="center"/>
          </w:tcPr>
          <w:p>
            <w:pPr>
              <w:pStyle w:val="TableContents"/>
              <w:bidi w:val="0"/>
              <w:spacing w:lineRule="auto" w:line="254" w:before="0" w:after="283"/>
              <w:jc w:val="center"/>
              <w:rPr/>
            </w:pPr>
            <w:hyperlink r:id="rId19">
              <w:r>
                <w:rPr>
                  <w:rStyle w:val="InternetLink"/>
                  <w:rFonts w:ascii="Times New Roman;serif" w:hAnsi="Times New Roman;serif"/>
                  <w:b w:val="false"/>
                  <w:i w:val="false"/>
                  <w:caps w:val="false"/>
                  <w:smallCaps w:val="false"/>
                  <w:color w:val="0000FF"/>
                  <w:sz w:val="20"/>
                  <w:u w:val="single"/>
                </w:rPr>
                <w:t>10.3*</w:t>
              </w:r>
            </w:hyperlink>
          </w:p>
        </w:tc>
        <w:tc>
          <w:tcPr>
            <w:tcW w:w="9336" w:type="dxa"/>
            <w:tcBorders/>
            <w:shd w:fill="CCEEFF" w:val="clear"/>
            <w:vAlign w:val="center"/>
          </w:tcPr>
          <w:p>
            <w:pPr>
              <w:pStyle w:val="TableContents"/>
              <w:bidi w:val="0"/>
              <w:spacing w:lineRule="auto" w:line="254" w:before="0" w:after="283"/>
              <w:jc w:val="left"/>
              <w:rPr/>
            </w:pPr>
            <w:hyperlink r:id="rId20">
              <w:r>
                <w:rPr>
                  <w:rStyle w:val="InternetLink"/>
                  <w:rFonts w:ascii="Times New Roman;serif" w:hAnsi="Times New Roman;serif"/>
                  <w:b w:val="false"/>
                  <w:i w:val="false"/>
                  <w:caps w:val="false"/>
                  <w:smallCaps w:val="false"/>
                  <w:color w:val="0000FF"/>
                  <w:sz w:val="20"/>
                  <w:u w:val="single"/>
                </w:rPr>
                <w:t>Form of Indemnification Agreement by and between Tile Shop Holdings, Inc. and each of its directors and executive officers – incorporated by reference to Exhibit 10.13 of Amendment No. 1 to the Company’s Form S-4 (Reg. No. 333-182482) dated July 23, 2012.</w:t>
              </w:r>
            </w:hyperlink>
          </w:p>
        </w:tc>
      </w:tr>
      <w:tr>
        <w:trPr/>
        <w:tc>
          <w:tcPr>
            <w:tcW w:w="869" w:type="dxa"/>
            <w:tcBorders/>
            <w:vAlign w:val="center"/>
          </w:tcPr>
          <w:p>
            <w:pPr>
              <w:pStyle w:val="TableContents"/>
              <w:bidi w:val="0"/>
              <w:spacing w:lineRule="auto" w:line="254" w:before="0" w:after="283"/>
              <w:jc w:val="center"/>
              <w:rPr/>
            </w:pPr>
            <w:hyperlink r:id="rId21">
              <w:r>
                <w:rPr>
                  <w:rStyle w:val="InternetLink"/>
                  <w:rFonts w:ascii="Times New Roman;serif" w:hAnsi="Times New Roman;serif"/>
                  <w:b w:val="false"/>
                  <w:i w:val="false"/>
                  <w:caps w:val="false"/>
                  <w:smallCaps w:val="false"/>
                  <w:color w:val="0000EE"/>
                  <w:sz w:val="20"/>
                  <w:u w:val="single"/>
                </w:rPr>
                <w:t>10.4*</w:t>
              </w:r>
            </w:hyperlink>
          </w:p>
        </w:tc>
        <w:tc>
          <w:tcPr>
            <w:tcW w:w="9336" w:type="dxa"/>
            <w:tcBorders/>
            <w:vAlign w:val="center"/>
          </w:tcPr>
          <w:p>
            <w:pPr>
              <w:pStyle w:val="TableContents"/>
              <w:bidi w:val="0"/>
              <w:spacing w:lineRule="auto" w:line="254" w:before="0" w:after="283"/>
              <w:jc w:val="left"/>
              <w:rPr/>
            </w:pPr>
            <w:hyperlink r:id="rId22">
              <w:r>
                <w:rPr>
                  <w:rStyle w:val="InternetLink"/>
                  <w:rFonts w:ascii="Times New Roman;serif" w:hAnsi="Times New Roman;serif"/>
                  <w:b w:val="false"/>
                  <w:i w:val="false"/>
                  <w:caps w:val="false"/>
                  <w:smallCaps w:val="false"/>
                  <w:color w:val="0000EE"/>
                  <w:sz w:val="20"/>
                  <w:u w:val="single"/>
                </w:rPr>
                <w:t>Tile Shop Holdings, Inc. Form of Incentive Stock Option Agreement (2012 Plan) – incorporated by reference to Exhibit 10.3 to the Company’s Current Report on Form 8-K filed July 26, 2013.</w:t>
              </w:r>
            </w:hyperlink>
          </w:p>
        </w:tc>
      </w:tr>
      <w:tr>
        <w:trPr/>
        <w:tc>
          <w:tcPr>
            <w:tcW w:w="869" w:type="dxa"/>
            <w:tcBorders/>
            <w:shd w:fill="CCEEFF" w:val="clear"/>
            <w:vAlign w:val="center"/>
          </w:tcPr>
          <w:p>
            <w:pPr>
              <w:pStyle w:val="TableContents"/>
              <w:bidi w:val="0"/>
              <w:spacing w:lineRule="auto" w:line="254" w:before="0" w:after="283"/>
              <w:jc w:val="center"/>
              <w:rPr/>
            </w:pPr>
            <w:hyperlink r:id="rId23">
              <w:r>
                <w:rPr>
                  <w:rStyle w:val="InternetLink"/>
                  <w:rFonts w:ascii="Times New Roman;serif" w:hAnsi="Times New Roman;serif"/>
                  <w:b w:val="false"/>
                  <w:i w:val="false"/>
                  <w:caps w:val="false"/>
                  <w:smallCaps w:val="false"/>
                  <w:color w:val="0000EE"/>
                  <w:sz w:val="20"/>
                  <w:u w:val="single"/>
                </w:rPr>
                <w:t>10.5*</w:t>
              </w:r>
            </w:hyperlink>
          </w:p>
        </w:tc>
        <w:tc>
          <w:tcPr>
            <w:tcW w:w="9336" w:type="dxa"/>
            <w:tcBorders/>
            <w:shd w:fill="CCEEFF" w:val="clear"/>
            <w:vAlign w:val="center"/>
          </w:tcPr>
          <w:p>
            <w:pPr>
              <w:pStyle w:val="TableContents"/>
              <w:bidi w:val="0"/>
              <w:spacing w:lineRule="auto" w:line="254" w:before="0" w:after="283"/>
              <w:jc w:val="left"/>
              <w:rPr/>
            </w:pPr>
            <w:hyperlink r:id="rId24">
              <w:r>
                <w:rPr>
                  <w:rStyle w:val="InternetLink"/>
                  <w:rFonts w:ascii="Times New Roman;serif" w:hAnsi="Times New Roman;serif"/>
                  <w:b w:val="false"/>
                  <w:i w:val="false"/>
                  <w:caps w:val="false"/>
                  <w:smallCaps w:val="false"/>
                  <w:color w:val="0000EE"/>
                  <w:sz w:val="20"/>
                  <w:u w:val="single"/>
                </w:rPr>
                <w:t>Tile Shop Holdings, Inc. Form of Nonstatutory Stock Option Agreement (2012 Plan) – incorporated by reference to Exhibit 10.4 to the Company’s Current Report on Form 8-K filed July 26, 2013.</w:t>
              </w:r>
            </w:hyperlink>
          </w:p>
        </w:tc>
      </w:tr>
      <w:tr>
        <w:trPr/>
        <w:tc>
          <w:tcPr>
            <w:tcW w:w="869" w:type="dxa"/>
            <w:tcBorders/>
            <w:vAlign w:val="center"/>
          </w:tcPr>
          <w:p>
            <w:pPr>
              <w:pStyle w:val="TableContents"/>
              <w:bidi w:val="0"/>
              <w:spacing w:lineRule="auto" w:line="254" w:before="0" w:after="283"/>
              <w:jc w:val="center"/>
              <w:rPr/>
            </w:pPr>
            <w:hyperlink r:id="rId25">
              <w:r>
                <w:rPr>
                  <w:rStyle w:val="InternetLink"/>
                  <w:rFonts w:ascii="Times New Roman;serif" w:hAnsi="Times New Roman;serif"/>
                  <w:b w:val="false"/>
                  <w:i w:val="false"/>
                  <w:caps w:val="false"/>
                  <w:smallCaps w:val="false"/>
                  <w:color w:val="0000EE"/>
                  <w:sz w:val="20"/>
                  <w:u w:val="single"/>
                </w:rPr>
                <w:t>10.6*</w:t>
              </w:r>
            </w:hyperlink>
          </w:p>
        </w:tc>
        <w:tc>
          <w:tcPr>
            <w:tcW w:w="9336" w:type="dxa"/>
            <w:tcBorders/>
            <w:vAlign w:val="center"/>
          </w:tcPr>
          <w:p>
            <w:pPr>
              <w:pStyle w:val="TableContents"/>
              <w:bidi w:val="0"/>
              <w:spacing w:lineRule="auto" w:line="254" w:before="0" w:after="283"/>
              <w:jc w:val="left"/>
              <w:rPr/>
            </w:pPr>
            <w:hyperlink r:id="rId26">
              <w:r>
                <w:rPr>
                  <w:rStyle w:val="InternetLink"/>
                  <w:rFonts w:ascii="Times New Roman;serif" w:hAnsi="Times New Roman;serif"/>
                  <w:b w:val="false"/>
                  <w:i w:val="false"/>
                  <w:caps w:val="false"/>
                  <w:smallCaps w:val="false"/>
                  <w:color w:val="0000EE"/>
                  <w:sz w:val="20"/>
                  <w:u w:val="single"/>
                </w:rPr>
                <w:t>Tile Shop Holdings, Inc. Form of Stock Restriction Agreement (2012 Plan) – incorporated by reference to Exhibit 10.5 to the Company’s Current Report on Form 8-K filed July 26, 2013.</w:t>
              </w:r>
            </w:hyperlink>
          </w:p>
        </w:tc>
      </w:tr>
      <w:tr>
        <w:trPr/>
        <w:tc>
          <w:tcPr>
            <w:tcW w:w="869" w:type="dxa"/>
            <w:tcBorders/>
            <w:shd w:fill="CCEEFF" w:val="clear"/>
            <w:vAlign w:val="center"/>
          </w:tcPr>
          <w:p>
            <w:pPr>
              <w:pStyle w:val="TableContents"/>
              <w:bidi w:val="0"/>
              <w:spacing w:lineRule="auto" w:line="254" w:before="0" w:after="283"/>
              <w:jc w:val="center"/>
              <w:rPr/>
            </w:pPr>
            <w:hyperlink r:id="rId27">
              <w:r>
                <w:rPr>
                  <w:rStyle w:val="InternetLink"/>
                  <w:rFonts w:ascii="Times New Roman;serif" w:hAnsi="Times New Roman;serif"/>
                  <w:b w:val="false"/>
                  <w:i w:val="false"/>
                  <w:caps w:val="false"/>
                  <w:smallCaps w:val="false"/>
                  <w:color w:val="0000EE"/>
                  <w:sz w:val="20"/>
                  <w:u w:val="single"/>
                </w:rPr>
                <w:t>10.7*</w:t>
              </w:r>
            </w:hyperlink>
          </w:p>
        </w:tc>
        <w:tc>
          <w:tcPr>
            <w:tcW w:w="9336" w:type="dxa"/>
            <w:tcBorders/>
            <w:shd w:fill="CCEEFF" w:val="clear"/>
            <w:vAlign w:val="center"/>
          </w:tcPr>
          <w:p>
            <w:pPr>
              <w:pStyle w:val="TableContents"/>
              <w:bidi w:val="0"/>
              <w:spacing w:lineRule="auto" w:line="254" w:before="0" w:after="283"/>
              <w:jc w:val="left"/>
              <w:rPr/>
            </w:pPr>
            <w:hyperlink r:id="rId28">
              <w:r>
                <w:rPr>
                  <w:rStyle w:val="InternetLink"/>
                  <w:rFonts w:ascii="Times New Roman;serif" w:hAnsi="Times New Roman;serif"/>
                  <w:b w:val="false"/>
                  <w:i w:val="false"/>
                  <w:caps w:val="false"/>
                  <w:smallCaps w:val="false"/>
                  <w:color w:val="0000EE"/>
                  <w:sz w:val="20"/>
                  <w:u w:val="single"/>
                </w:rPr>
                <w:t>Tile Shop Holdings, Inc. Form of Stock Restriction Agreement (2012 Plan) – incorporated by reference to Exhibit 10.2 to the Company’s Quarterly Report on Form 10-Q for the quarter ended September 30, 2017.</w:t>
              </w:r>
            </w:hyperlink>
          </w:p>
        </w:tc>
      </w:tr>
      <w:tr>
        <w:trPr/>
        <w:tc>
          <w:tcPr>
            <w:tcW w:w="869" w:type="dxa"/>
            <w:tcBorders/>
            <w:vAlign w:val="center"/>
          </w:tcPr>
          <w:p>
            <w:pPr>
              <w:pStyle w:val="TableContents"/>
              <w:bidi w:val="0"/>
              <w:spacing w:lineRule="auto" w:line="254" w:before="0" w:after="283"/>
              <w:jc w:val="center"/>
              <w:rPr/>
            </w:pPr>
            <w:hyperlink r:id="rId29">
              <w:r>
                <w:rPr>
                  <w:rStyle w:val="InternetLink"/>
                  <w:rFonts w:ascii="Times New Roman;serif" w:hAnsi="Times New Roman;serif"/>
                  <w:b w:val="false"/>
                  <w:i w:val="false"/>
                  <w:caps w:val="false"/>
                  <w:smallCaps w:val="false"/>
                  <w:color w:val="0000EE"/>
                  <w:sz w:val="20"/>
                  <w:u w:val="single"/>
                </w:rPr>
                <w:t>10.8*</w:t>
              </w:r>
            </w:hyperlink>
          </w:p>
        </w:tc>
        <w:tc>
          <w:tcPr>
            <w:tcW w:w="9336" w:type="dxa"/>
            <w:tcBorders/>
            <w:vAlign w:val="center"/>
          </w:tcPr>
          <w:p>
            <w:pPr>
              <w:pStyle w:val="TableContents"/>
              <w:bidi w:val="0"/>
              <w:spacing w:lineRule="auto" w:line="254" w:before="0" w:after="283"/>
              <w:jc w:val="left"/>
              <w:rPr/>
            </w:pPr>
            <w:hyperlink r:id="rId30">
              <w:r>
                <w:rPr>
                  <w:rStyle w:val="InternetLink"/>
                  <w:rFonts w:ascii="Times New Roman;serif" w:hAnsi="Times New Roman;serif"/>
                  <w:b w:val="false"/>
                  <w:i w:val="false"/>
                  <w:caps w:val="false"/>
                  <w:smallCaps w:val="false"/>
                  <w:color w:val="0000EE"/>
                  <w:sz w:val="20"/>
                  <w:u w:val="single"/>
                </w:rPr>
                <w:t>Employment Agreement, dated February 19, 2018, between Tile Shop Holdings, Inc. and Cabell Lolmaugh – incorporated by reference to Exhibit 10.1 to the Company’s Current Report on Form 8-K filed February 21, 2018.</w:t>
              </w:r>
            </w:hyperlink>
          </w:p>
        </w:tc>
      </w:tr>
      <w:tr>
        <w:trPr/>
        <w:tc>
          <w:tcPr>
            <w:tcW w:w="869" w:type="dxa"/>
            <w:tcBorders/>
            <w:shd w:fill="CCEEFF" w:val="clear"/>
            <w:vAlign w:val="center"/>
          </w:tcPr>
          <w:p>
            <w:pPr>
              <w:pStyle w:val="TableContents"/>
              <w:bidi w:val="0"/>
              <w:spacing w:lineRule="auto" w:line="254" w:before="0" w:after="283"/>
              <w:jc w:val="center"/>
              <w:rPr/>
            </w:pPr>
            <w:hyperlink r:id="rId31">
              <w:r>
                <w:rPr>
                  <w:rStyle w:val="InternetLink"/>
                  <w:rFonts w:ascii="Times New Roman;serif" w:hAnsi="Times New Roman;serif"/>
                  <w:b w:val="false"/>
                  <w:i w:val="false"/>
                  <w:caps w:val="false"/>
                  <w:smallCaps w:val="false"/>
                  <w:color w:val="0000EE"/>
                  <w:sz w:val="20"/>
                  <w:u w:val="single"/>
                </w:rPr>
                <w:t>10.9*</w:t>
              </w:r>
            </w:hyperlink>
          </w:p>
        </w:tc>
        <w:tc>
          <w:tcPr>
            <w:tcW w:w="9336" w:type="dxa"/>
            <w:tcBorders/>
            <w:shd w:fill="CCEEFF" w:val="clear"/>
            <w:vAlign w:val="center"/>
          </w:tcPr>
          <w:p>
            <w:pPr>
              <w:pStyle w:val="TableContents"/>
              <w:bidi w:val="0"/>
              <w:spacing w:lineRule="auto" w:line="254" w:before="0" w:after="283"/>
              <w:jc w:val="left"/>
              <w:rPr/>
            </w:pPr>
            <w:hyperlink r:id="rId32">
              <w:r>
                <w:rPr>
                  <w:rStyle w:val="InternetLink"/>
                  <w:rFonts w:ascii="Times New Roman;serif" w:hAnsi="Times New Roman;serif"/>
                  <w:b w:val="false"/>
                  <w:i w:val="false"/>
                  <w:caps w:val="false"/>
                  <w:smallCaps w:val="false"/>
                  <w:color w:val="0000EE"/>
                  <w:sz w:val="20"/>
                  <w:u w:val="single"/>
                </w:rPr>
                <w:t>Employment Agreement, dated September 6, 2019, by and between Tile Shop Holdings, Inc. and Mark Davis – incorporated by reference to Exhibit 10.2 to the Company’s Quarterly Report on Form 10-Q for the quarter ended September 30, 2019.</w:t>
              </w:r>
            </w:hyperlink>
          </w:p>
        </w:tc>
      </w:tr>
      <w:tr>
        <w:trPr/>
        <w:tc>
          <w:tcPr>
            <w:tcW w:w="869" w:type="dxa"/>
            <w:tcBorders/>
            <w:vAlign w:val="center"/>
          </w:tcPr>
          <w:p>
            <w:pPr>
              <w:pStyle w:val="TableContents"/>
              <w:bidi w:val="0"/>
              <w:spacing w:lineRule="auto" w:line="254" w:before="0" w:after="283"/>
              <w:jc w:val="center"/>
              <w:rPr/>
            </w:pPr>
            <w:hyperlink r:id="rId33">
              <w:r>
                <w:rPr>
                  <w:rStyle w:val="InternetLink"/>
                  <w:rFonts w:ascii="Times New Roman;serif" w:hAnsi="Times New Roman;serif"/>
                  <w:b w:val="false"/>
                  <w:i w:val="false"/>
                  <w:caps w:val="false"/>
                  <w:smallCaps w:val="false"/>
                  <w:color w:val="0000FF"/>
                  <w:sz w:val="20"/>
                  <w:u w:val="single"/>
                </w:rPr>
                <w:t>10.10*</w:t>
              </w:r>
            </w:hyperlink>
          </w:p>
        </w:tc>
        <w:tc>
          <w:tcPr>
            <w:tcW w:w="9336" w:type="dxa"/>
            <w:tcBorders/>
            <w:vAlign w:val="center"/>
          </w:tcPr>
          <w:p>
            <w:pPr>
              <w:pStyle w:val="TableContents"/>
              <w:bidi w:val="0"/>
              <w:spacing w:lineRule="auto" w:line="254" w:before="0" w:after="283"/>
              <w:jc w:val="left"/>
              <w:rPr/>
            </w:pPr>
            <w:hyperlink r:id="rId34">
              <w:r>
                <w:rPr>
                  <w:rStyle w:val="InternetLink"/>
                  <w:rFonts w:ascii="Times New Roman;serif" w:hAnsi="Times New Roman;serif"/>
                  <w:b w:val="false"/>
                  <w:i w:val="false"/>
                  <w:caps w:val="false"/>
                  <w:smallCaps w:val="false"/>
                  <w:color w:val="0000FF"/>
                  <w:sz w:val="20"/>
                  <w:u w:val="single"/>
                </w:rPr>
                <w:t>Amendment to Employment Agreement, dated as of March 18, 2024, by and between Tile Shop Holdings, Inc. and Mark Davis – incorporated by reference to Exhibit 10.1 to the Company’s Current Report on Form 8-K filed March 18, 2024.</w:t>
              </w:r>
            </w:hyperlink>
          </w:p>
        </w:tc>
      </w:tr>
      <w:tr>
        <w:trPr/>
        <w:tc>
          <w:tcPr>
            <w:tcW w:w="869" w:type="dxa"/>
            <w:tcBorders/>
            <w:shd w:fill="CCEEFF" w:val="clear"/>
            <w:vAlign w:val="center"/>
          </w:tcPr>
          <w:p>
            <w:pPr>
              <w:pStyle w:val="TableContents"/>
              <w:bidi w:val="0"/>
              <w:spacing w:lineRule="auto" w:line="254" w:before="0" w:after="283"/>
              <w:jc w:val="center"/>
              <w:rPr/>
            </w:pPr>
            <w:hyperlink r:id="rId35">
              <w:r>
                <w:rPr>
                  <w:rStyle w:val="InternetLink"/>
                  <w:rFonts w:ascii="Times New Roman;serif" w:hAnsi="Times New Roman;serif"/>
                  <w:b w:val="false"/>
                  <w:i w:val="false"/>
                  <w:caps w:val="false"/>
                  <w:smallCaps w:val="false"/>
                  <w:color w:val="0000FF"/>
                  <w:sz w:val="20"/>
                  <w:u w:val="single"/>
                </w:rPr>
                <w:t>10.11*</w:t>
              </w:r>
            </w:hyperlink>
          </w:p>
        </w:tc>
        <w:tc>
          <w:tcPr>
            <w:tcW w:w="9336" w:type="dxa"/>
            <w:tcBorders/>
            <w:shd w:fill="CCEEFF" w:val="clear"/>
            <w:vAlign w:val="center"/>
          </w:tcPr>
          <w:p>
            <w:pPr>
              <w:pStyle w:val="TableContents"/>
              <w:bidi w:val="0"/>
              <w:spacing w:lineRule="auto" w:line="254" w:before="0" w:after="283"/>
              <w:jc w:val="left"/>
              <w:rPr/>
            </w:pPr>
            <w:hyperlink r:id="rId36">
              <w:r>
                <w:rPr>
                  <w:rStyle w:val="InternetLink"/>
                  <w:rFonts w:ascii="Times New Roman;serif" w:hAnsi="Times New Roman;serif"/>
                  <w:b w:val="false"/>
                  <w:i w:val="false"/>
                  <w:caps w:val="false"/>
                  <w:smallCaps w:val="false"/>
                  <w:color w:val="0000FF"/>
                  <w:sz w:val="20"/>
                  <w:u w:val="single"/>
                </w:rPr>
                <w:t>Employment Agreement, dated as of February 25, 2025, by and between Tile Shop Holdings, Inc. and Joseph Kinder – incorporated by reference to Exhibit 10.11 of the Company’s Annual Report on Form 10-K for the year ended December 31, 2024.</w:t>
              </w:r>
            </w:hyperlink>
          </w:p>
        </w:tc>
      </w:tr>
      <w:tr>
        <w:trPr/>
        <w:tc>
          <w:tcPr>
            <w:tcW w:w="869" w:type="dxa"/>
            <w:tcBorders/>
            <w:vAlign w:val="center"/>
          </w:tcPr>
          <w:p>
            <w:pPr>
              <w:pStyle w:val="TableContents"/>
              <w:bidi w:val="0"/>
              <w:spacing w:lineRule="auto" w:line="254" w:before="0" w:after="283"/>
              <w:jc w:val="center"/>
              <w:rPr/>
            </w:pPr>
            <w:hyperlink r:id="rId37">
              <w:r>
                <w:rPr>
                  <w:rStyle w:val="InternetLink"/>
                  <w:rFonts w:ascii="Times New Roman;serif" w:hAnsi="Times New Roman;serif"/>
                  <w:b w:val="false"/>
                  <w:i w:val="false"/>
                  <w:caps w:val="false"/>
                  <w:smallCaps w:val="false"/>
                  <w:color w:val="0000FF"/>
                  <w:sz w:val="20"/>
                  <w:u w:val="single"/>
                </w:rPr>
                <w:t>10.12*</w:t>
              </w:r>
            </w:hyperlink>
          </w:p>
        </w:tc>
        <w:tc>
          <w:tcPr>
            <w:tcW w:w="9336" w:type="dxa"/>
            <w:tcBorders/>
            <w:vAlign w:val="center"/>
          </w:tcPr>
          <w:p>
            <w:pPr>
              <w:pStyle w:val="TableContents"/>
              <w:bidi w:val="0"/>
              <w:spacing w:lineRule="auto" w:line="254" w:before="0" w:after="283"/>
              <w:jc w:val="left"/>
              <w:rPr/>
            </w:pPr>
            <w:hyperlink r:id="rId38">
              <w:r>
                <w:rPr>
                  <w:rStyle w:val="InternetLink"/>
                  <w:rFonts w:ascii="Times New Roman;serif" w:hAnsi="Times New Roman;serif"/>
                  <w:b w:val="false"/>
                  <w:i w:val="false"/>
                  <w:caps w:val="false"/>
                  <w:smallCaps w:val="false"/>
                  <w:color w:val="0000FF"/>
                  <w:sz w:val="20"/>
                  <w:u w:val="single"/>
                </w:rPr>
                <w:t>Tile Shop Holdings, Inc. Form of Performance-Based Stock Restriction Agreement – incorporated by reference to Exhibit 10.20 to the Company’s Annual Report on Form 10-K for the year ended December 31, 2020.</w:t>
              </w:r>
            </w:hyperlink>
          </w:p>
        </w:tc>
      </w:tr>
      <w:tr>
        <w:trPr/>
        <w:tc>
          <w:tcPr>
            <w:tcW w:w="869" w:type="dxa"/>
            <w:tcBorders/>
            <w:shd w:fill="CCEEFF" w:val="clear"/>
            <w:vAlign w:val="center"/>
          </w:tcPr>
          <w:p>
            <w:pPr>
              <w:pStyle w:val="TableContents"/>
              <w:bidi w:val="0"/>
              <w:spacing w:lineRule="auto" w:line="254" w:before="0" w:after="283"/>
              <w:jc w:val="center"/>
              <w:rPr/>
            </w:pPr>
            <w:hyperlink r:id="rId39">
              <w:r>
                <w:rPr>
                  <w:rStyle w:val="InternetLink"/>
                  <w:rFonts w:ascii="Times New Roman;serif" w:hAnsi="Times New Roman;serif"/>
                  <w:b w:val="false"/>
                  <w:i w:val="false"/>
                  <w:caps w:val="false"/>
                  <w:smallCaps w:val="false"/>
                  <w:color w:val="0000FF"/>
                  <w:sz w:val="20"/>
                  <w:u w:val="single"/>
                </w:rPr>
                <w:t>10.13*</w:t>
              </w:r>
            </w:hyperlink>
          </w:p>
        </w:tc>
        <w:tc>
          <w:tcPr>
            <w:tcW w:w="9336" w:type="dxa"/>
            <w:tcBorders/>
            <w:shd w:fill="CCEEFF" w:val="clear"/>
            <w:vAlign w:val="center"/>
          </w:tcPr>
          <w:p>
            <w:pPr>
              <w:pStyle w:val="TableContents"/>
              <w:bidi w:val="0"/>
              <w:spacing w:lineRule="auto" w:line="254" w:before="0" w:after="283"/>
              <w:jc w:val="left"/>
              <w:rPr/>
            </w:pPr>
            <w:hyperlink r:id="rId40">
              <w:r>
                <w:rPr>
                  <w:rStyle w:val="InternetLink"/>
                  <w:rFonts w:ascii="Times New Roman;serif" w:hAnsi="Times New Roman;serif"/>
                  <w:b w:val="false"/>
                  <w:i w:val="false"/>
                  <w:caps w:val="false"/>
                  <w:smallCaps w:val="false"/>
                  <w:color w:val="0000FF"/>
                  <w:sz w:val="20"/>
                  <w:u w:val="single"/>
                </w:rPr>
                <w:t>Tile Shop Holdings, Inc. 2021 Omnibus Equity Compensation Plan – incorporated by reference to Exhibit 10.1 to the Company’s Current Report on Form 8-K filed July 21, 2021.</w:t>
              </w:r>
            </w:hyperlink>
          </w:p>
        </w:tc>
      </w:tr>
      <w:tr>
        <w:trPr/>
        <w:tc>
          <w:tcPr>
            <w:tcW w:w="869" w:type="dxa"/>
            <w:tcBorders/>
            <w:vAlign w:val="center"/>
          </w:tcPr>
          <w:p>
            <w:pPr>
              <w:pStyle w:val="TableContents"/>
              <w:bidi w:val="0"/>
              <w:spacing w:lineRule="auto" w:line="254" w:before="0" w:after="283"/>
              <w:jc w:val="center"/>
              <w:rPr/>
            </w:pPr>
            <w:hyperlink r:id="rId41">
              <w:r>
                <w:rPr>
                  <w:rStyle w:val="InternetLink"/>
                  <w:rFonts w:ascii="Times New Roman;serif" w:hAnsi="Times New Roman;serif"/>
                  <w:b w:val="false"/>
                  <w:i w:val="false"/>
                  <w:caps w:val="false"/>
                  <w:smallCaps w:val="false"/>
                  <w:color w:val="0000FF"/>
                  <w:sz w:val="20"/>
                  <w:u w:val="single"/>
                </w:rPr>
                <w:t>10.14*</w:t>
              </w:r>
            </w:hyperlink>
          </w:p>
        </w:tc>
        <w:tc>
          <w:tcPr>
            <w:tcW w:w="9336" w:type="dxa"/>
            <w:tcBorders/>
            <w:vAlign w:val="center"/>
          </w:tcPr>
          <w:p>
            <w:pPr>
              <w:pStyle w:val="TableContents"/>
              <w:bidi w:val="0"/>
              <w:spacing w:lineRule="auto" w:line="254" w:before="0" w:after="283"/>
              <w:jc w:val="left"/>
              <w:rPr/>
            </w:pPr>
            <w:hyperlink r:id="rId42">
              <w:r>
                <w:rPr>
                  <w:rStyle w:val="InternetLink"/>
                  <w:rFonts w:ascii="Times New Roman;serif" w:hAnsi="Times New Roman;serif"/>
                  <w:b w:val="false"/>
                  <w:i w:val="false"/>
                  <w:caps w:val="false"/>
                  <w:smallCaps w:val="false"/>
                  <w:color w:val="0000FF"/>
                  <w:sz w:val="20"/>
                  <w:u w:val="single"/>
                </w:rPr>
                <w:t>Form of Nonqualified Stock Option Agreement (2021 Plan) – incorporated by reference to Exhibit 10.2 to the Company’s Current Report on Form 8-K filed July 21, 2021.</w:t>
              </w:r>
            </w:hyperlink>
          </w:p>
        </w:tc>
      </w:tr>
      <w:tr>
        <w:trPr/>
        <w:tc>
          <w:tcPr>
            <w:tcW w:w="869" w:type="dxa"/>
            <w:tcBorders/>
            <w:shd w:fill="CCEEFF" w:val="clear"/>
            <w:vAlign w:val="center"/>
          </w:tcPr>
          <w:p>
            <w:pPr>
              <w:pStyle w:val="TableContents"/>
              <w:bidi w:val="0"/>
              <w:spacing w:lineRule="auto" w:line="254" w:before="0" w:after="283"/>
              <w:jc w:val="center"/>
              <w:rPr/>
            </w:pPr>
            <w:hyperlink r:id="rId43">
              <w:r>
                <w:rPr>
                  <w:rStyle w:val="InternetLink"/>
                  <w:rFonts w:ascii="Times New Roman;serif" w:hAnsi="Times New Roman;serif"/>
                  <w:b w:val="false"/>
                  <w:i w:val="false"/>
                  <w:caps w:val="false"/>
                  <w:smallCaps w:val="false"/>
                  <w:color w:val="0000FF"/>
                  <w:sz w:val="20"/>
                  <w:u w:val="single"/>
                </w:rPr>
                <w:t>10.15*</w:t>
              </w:r>
            </w:hyperlink>
          </w:p>
        </w:tc>
        <w:tc>
          <w:tcPr>
            <w:tcW w:w="9336" w:type="dxa"/>
            <w:tcBorders/>
            <w:shd w:fill="CCEEFF" w:val="clear"/>
            <w:vAlign w:val="center"/>
          </w:tcPr>
          <w:p>
            <w:pPr>
              <w:pStyle w:val="TableContents"/>
              <w:bidi w:val="0"/>
              <w:spacing w:lineRule="auto" w:line="254" w:before="0" w:after="283"/>
              <w:jc w:val="left"/>
              <w:rPr/>
            </w:pPr>
            <w:hyperlink r:id="rId44">
              <w:r>
                <w:rPr>
                  <w:rStyle w:val="InternetLink"/>
                  <w:rFonts w:ascii="Times New Roman;serif" w:hAnsi="Times New Roman;serif"/>
                  <w:b w:val="false"/>
                  <w:i w:val="false"/>
                  <w:caps w:val="false"/>
                  <w:smallCaps w:val="false"/>
                  <w:color w:val="0000FF"/>
                  <w:sz w:val="20"/>
                  <w:u w:val="single"/>
                </w:rPr>
                <w:t>Form of Incentive Stock Option Agreement (2021 Plan) – incorporated by reference to Exhibit 10.3 to the Company’s Current Report on Form 8-K filed July 21, 2021.</w:t>
              </w:r>
            </w:hyperlink>
          </w:p>
        </w:tc>
      </w:tr>
      <w:tr>
        <w:trPr/>
        <w:tc>
          <w:tcPr>
            <w:tcW w:w="869" w:type="dxa"/>
            <w:tcBorders/>
            <w:vAlign w:val="center"/>
          </w:tcPr>
          <w:p>
            <w:pPr>
              <w:pStyle w:val="TableContents"/>
              <w:bidi w:val="0"/>
              <w:spacing w:lineRule="auto" w:line="254" w:before="0" w:after="283"/>
              <w:jc w:val="center"/>
              <w:rPr/>
            </w:pPr>
            <w:hyperlink r:id="rId45">
              <w:r>
                <w:rPr>
                  <w:rStyle w:val="InternetLink"/>
                  <w:rFonts w:ascii="Times New Roman;serif" w:hAnsi="Times New Roman;serif"/>
                  <w:b w:val="false"/>
                  <w:i w:val="false"/>
                  <w:caps w:val="false"/>
                  <w:smallCaps w:val="false"/>
                  <w:color w:val="0000FF"/>
                  <w:sz w:val="20"/>
                  <w:u w:val="single"/>
                </w:rPr>
                <w:t>10.16*</w:t>
              </w:r>
            </w:hyperlink>
          </w:p>
        </w:tc>
        <w:tc>
          <w:tcPr>
            <w:tcW w:w="9336" w:type="dxa"/>
            <w:tcBorders/>
            <w:vAlign w:val="center"/>
          </w:tcPr>
          <w:p>
            <w:pPr>
              <w:pStyle w:val="TableContents"/>
              <w:bidi w:val="0"/>
              <w:spacing w:lineRule="auto" w:line="254" w:before="0" w:after="283"/>
              <w:jc w:val="left"/>
              <w:rPr/>
            </w:pPr>
            <w:hyperlink r:id="rId46">
              <w:r>
                <w:rPr>
                  <w:rStyle w:val="InternetLink"/>
                  <w:rFonts w:ascii="Times New Roman;serif" w:hAnsi="Times New Roman;serif"/>
                  <w:b w:val="false"/>
                  <w:i w:val="false"/>
                  <w:caps w:val="false"/>
                  <w:smallCaps w:val="false"/>
                  <w:color w:val="0000FF"/>
                  <w:sz w:val="20"/>
                  <w:u w:val="single"/>
                </w:rPr>
                <w:t>Form of Stock Restriction Agreement (2021 Plan) – incorporated by reference to Exhibit 10.4 to the Company’s Current Report on Form 8-K filed July 21, 2021.</w:t>
              </w:r>
            </w:hyperlink>
          </w:p>
        </w:tc>
      </w:tr>
    </w:tbl>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tbl>
      <w:tblPr>
        <w:tblW w:w="10205" w:type="dxa"/>
        <w:jc w:val="left"/>
        <w:tblInd w:w="0" w:type="dxa"/>
        <w:tblLayout w:type="fixed"/>
        <w:tblCellMar>
          <w:top w:w="0" w:type="dxa"/>
          <w:left w:w="0" w:type="dxa"/>
          <w:bottom w:w="0" w:type="dxa"/>
          <w:right w:w="0" w:type="dxa"/>
        </w:tblCellMar>
      </w:tblPr>
      <w:tblGrid>
        <w:gridCol w:w="649"/>
        <w:gridCol w:w="9556"/>
      </w:tblGrid>
      <w:tr>
        <w:trPr/>
        <w:tc>
          <w:tcPr>
            <w:tcW w:w="649" w:type="dxa"/>
            <w:tcBorders/>
            <w:vAlign w:val="center"/>
          </w:tcPr>
          <w:p>
            <w:pPr>
              <w:pStyle w:val="TableContents"/>
              <w:bidi w:val="0"/>
              <w:spacing w:before="0" w:after="283"/>
              <w:jc w:val="left"/>
              <w:rPr>
                <w:sz w:val="4"/>
                <w:szCs w:val="4"/>
              </w:rPr>
            </w:pPr>
            <w:r>
              <w:rPr>
                <w:sz w:val="4"/>
                <w:szCs w:val="4"/>
              </w:rPr>
            </w:r>
          </w:p>
        </w:tc>
        <w:tc>
          <w:tcPr>
            <w:tcW w:w="9556" w:type="dxa"/>
            <w:tcBorders/>
            <w:vAlign w:val="center"/>
          </w:tcPr>
          <w:p>
            <w:pPr>
              <w:pStyle w:val="TableContents"/>
              <w:bidi w:val="0"/>
              <w:spacing w:before="0" w:after="283"/>
              <w:jc w:val="left"/>
              <w:rPr>
                <w:sz w:val="4"/>
                <w:szCs w:val="4"/>
              </w:rPr>
            </w:pPr>
            <w:r>
              <w:rPr>
                <w:sz w:val="4"/>
                <w:szCs w:val="4"/>
              </w:rPr>
            </w:r>
          </w:p>
        </w:tc>
      </w:tr>
      <w:tr>
        <w:trPr/>
        <w:tc>
          <w:tcPr>
            <w:tcW w:w="649" w:type="dxa"/>
            <w:tcBorders/>
            <w:shd w:fill="CCEEFF" w:val="clear"/>
            <w:vAlign w:val="center"/>
          </w:tcPr>
          <w:p>
            <w:pPr>
              <w:pStyle w:val="TableContents"/>
              <w:bidi w:val="0"/>
              <w:spacing w:lineRule="auto" w:line="254" w:before="0" w:after="283"/>
              <w:jc w:val="center"/>
              <w:rPr/>
            </w:pPr>
            <w:hyperlink r:id="rId47">
              <w:r>
                <w:rPr>
                  <w:rStyle w:val="InternetLink"/>
                  <w:rFonts w:ascii="Times New Roman;serif" w:hAnsi="Times New Roman;serif"/>
                  <w:b w:val="false"/>
                  <w:i w:val="false"/>
                  <w:caps w:val="false"/>
                  <w:smallCaps w:val="false"/>
                  <w:color w:val="0000FF"/>
                  <w:sz w:val="20"/>
                  <w:u w:val="single"/>
                </w:rPr>
                <w:t>10.17*</w:t>
              </w:r>
            </w:hyperlink>
          </w:p>
        </w:tc>
        <w:tc>
          <w:tcPr>
            <w:tcW w:w="9556" w:type="dxa"/>
            <w:tcBorders/>
            <w:shd w:fill="CCEEFF" w:val="clear"/>
            <w:vAlign w:val="center"/>
          </w:tcPr>
          <w:p>
            <w:pPr>
              <w:pStyle w:val="TableContents"/>
              <w:bidi w:val="0"/>
              <w:spacing w:lineRule="auto" w:line="254" w:before="0" w:after="283"/>
              <w:jc w:val="left"/>
              <w:rPr/>
            </w:pPr>
            <w:hyperlink r:id="rId48">
              <w:r>
                <w:rPr>
                  <w:rStyle w:val="InternetLink"/>
                  <w:rFonts w:ascii="Times New Roman;serif" w:hAnsi="Times New Roman;serif"/>
                  <w:b w:val="false"/>
                  <w:i w:val="false"/>
                  <w:caps w:val="false"/>
                  <w:smallCaps w:val="false"/>
                  <w:color w:val="0000FF"/>
                  <w:sz w:val="20"/>
                  <w:u w:val="single"/>
                </w:rPr>
                <w:t>Form of Performance-Based Stock Restriction Agreement (2021 Plan) – incorporated by reference to Exhibit 10.5 to the Company’s Current Report on Form 8-K filed July 21, 2021.</w:t>
              </w:r>
            </w:hyperlink>
          </w:p>
        </w:tc>
      </w:tr>
      <w:tr>
        <w:trPr/>
        <w:tc>
          <w:tcPr>
            <w:tcW w:w="649" w:type="dxa"/>
            <w:tcBorders/>
            <w:vAlign w:val="center"/>
          </w:tcPr>
          <w:p>
            <w:pPr>
              <w:pStyle w:val="TableContents"/>
              <w:bidi w:val="0"/>
              <w:spacing w:lineRule="auto" w:line="254" w:before="0" w:after="283"/>
              <w:jc w:val="center"/>
              <w:rPr/>
            </w:pPr>
            <w:hyperlink r:id="rId49">
              <w:r>
                <w:rPr>
                  <w:rStyle w:val="InternetLink"/>
                  <w:rFonts w:ascii="Times New Roman;serif" w:hAnsi="Times New Roman;serif"/>
                  <w:b w:val="false"/>
                  <w:i w:val="false"/>
                  <w:caps w:val="false"/>
                  <w:smallCaps w:val="false"/>
                  <w:color w:val="0000FF"/>
                  <w:sz w:val="20"/>
                  <w:u w:val="single"/>
                </w:rPr>
                <w:t>10.18*</w:t>
              </w:r>
            </w:hyperlink>
          </w:p>
        </w:tc>
        <w:tc>
          <w:tcPr>
            <w:tcW w:w="9556" w:type="dxa"/>
            <w:tcBorders/>
            <w:vAlign w:val="center"/>
          </w:tcPr>
          <w:p>
            <w:pPr>
              <w:pStyle w:val="TableContents"/>
              <w:bidi w:val="0"/>
              <w:spacing w:lineRule="auto" w:line="254" w:before="0" w:after="283"/>
              <w:jc w:val="left"/>
              <w:rPr/>
            </w:pPr>
            <w:hyperlink r:id="rId50">
              <w:r>
                <w:rPr>
                  <w:rStyle w:val="InternetLink"/>
                  <w:rFonts w:ascii="Times New Roman;serif" w:hAnsi="Times New Roman;serif"/>
                  <w:b w:val="false"/>
                  <w:i w:val="false"/>
                  <w:caps w:val="false"/>
                  <w:smallCaps w:val="false"/>
                  <w:color w:val="0000FF"/>
                  <w:sz w:val="20"/>
                  <w:u w:val="single"/>
                </w:rPr>
                <w:t>Form of Stock Restriction Agreement (2021 Plan) (2023) – incorporated by reference to Exhibit 10.19 of the Company’s Annual Report on Form 10-K for the year ended December 31, 2022.</w:t>
              </w:r>
            </w:hyperlink>
            <w:r>
              <w:rPr>
                <w:rFonts w:ascii="Times New Roman;serif" w:hAnsi="Times New Roman;serif"/>
                <w:caps w:val="false"/>
                <w:smallCaps w:val="false"/>
                <w:color w:val="0000FF"/>
                <w:sz w:val="20"/>
              </w:rPr>
              <w:t xml:space="preserve"> </w:t>
            </w:r>
          </w:p>
        </w:tc>
      </w:tr>
      <w:tr>
        <w:trPr/>
        <w:tc>
          <w:tcPr>
            <w:tcW w:w="649" w:type="dxa"/>
            <w:tcBorders/>
            <w:shd w:fill="CCEEFF" w:val="clear"/>
            <w:vAlign w:val="center"/>
          </w:tcPr>
          <w:p>
            <w:pPr>
              <w:pStyle w:val="TableContents"/>
              <w:bidi w:val="0"/>
              <w:spacing w:lineRule="auto" w:line="254" w:before="0" w:after="283"/>
              <w:jc w:val="center"/>
              <w:rPr/>
            </w:pPr>
            <w:hyperlink r:id="rId51">
              <w:r>
                <w:rPr>
                  <w:rStyle w:val="InternetLink"/>
                  <w:rFonts w:ascii="Times New Roman;serif" w:hAnsi="Times New Roman;serif"/>
                  <w:b w:val="false"/>
                  <w:i w:val="false"/>
                  <w:caps w:val="false"/>
                  <w:smallCaps w:val="false"/>
                  <w:color w:val="0000FF"/>
                  <w:sz w:val="20"/>
                  <w:u w:val="single"/>
                </w:rPr>
                <w:t>10.19*</w:t>
              </w:r>
            </w:hyperlink>
          </w:p>
        </w:tc>
        <w:tc>
          <w:tcPr>
            <w:tcW w:w="9556" w:type="dxa"/>
            <w:tcBorders/>
            <w:shd w:fill="CCEEFF" w:val="clear"/>
            <w:vAlign w:val="center"/>
          </w:tcPr>
          <w:p>
            <w:pPr>
              <w:pStyle w:val="TableContents"/>
              <w:bidi w:val="0"/>
              <w:spacing w:lineRule="auto" w:line="254" w:before="0" w:after="283"/>
              <w:jc w:val="left"/>
              <w:rPr/>
            </w:pPr>
            <w:hyperlink r:id="rId52">
              <w:r>
                <w:rPr>
                  <w:rStyle w:val="InternetLink"/>
                  <w:rFonts w:ascii="Times New Roman;serif" w:hAnsi="Times New Roman;serif"/>
                  <w:b w:val="false"/>
                  <w:i w:val="false"/>
                  <w:caps w:val="false"/>
                  <w:smallCaps w:val="false"/>
                  <w:color w:val="0000FF"/>
                  <w:sz w:val="20"/>
                  <w:u w:val="single"/>
                </w:rPr>
                <w:t>Form of Performance-Based Stock Restriction Agreement (2021 Plan) (2023) – incorporated by reference to Exhibit 10.20 of the Company’s Annual Report on Form 10-K for the year ended December 31, 2022.</w:t>
              </w:r>
            </w:hyperlink>
            <w:r>
              <w:rPr>
                <w:rFonts w:ascii="Times New Roman;serif" w:hAnsi="Times New Roman;serif"/>
                <w:caps w:val="false"/>
                <w:smallCaps w:val="false"/>
                <w:sz w:val="20"/>
              </w:rPr>
              <w:t xml:space="preserve"> </w:t>
            </w:r>
          </w:p>
        </w:tc>
      </w:tr>
      <w:tr>
        <w:trPr/>
        <w:tc>
          <w:tcPr>
            <w:tcW w:w="649" w:type="dxa"/>
            <w:tcBorders/>
            <w:vAlign w:val="center"/>
          </w:tcPr>
          <w:p>
            <w:pPr>
              <w:pStyle w:val="TableContents"/>
              <w:bidi w:val="0"/>
              <w:spacing w:lineRule="auto" w:line="254" w:before="0" w:after="283"/>
              <w:jc w:val="center"/>
              <w:rPr/>
            </w:pPr>
            <w:hyperlink r:id="rId53">
              <w:r>
                <w:rPr>
                  <w:rStyle w:val="InternetLink"/>
                  <w:rFonts w:ascii="Times New Roman;serif" w:hAnsi="Times New Roman;serif"/>
                  <w:b w:val="false"/>
                  <w:i w:val="false"/>
                  <w:caps w:val="false"/>
                  <w:smallCaps w:val="false"/>
                  <w:color w:val="0000FF"/>
                  <w:sz w:val="20"/>
                  <w:u w:val="single"/>
                </w:rPr>
                <w:t>10.20*</w:t>
              </w:r>
            </w:hyperlink>
          </w:p>
        </w:tc>
        <w:tc>
          <w:tcPr>
            <w:tcW w:w="9556" w:type="dxa"/>
            <w:tcBorders/>
            <w:vAlign w:val="center"/>
          </w:tcPr>
          <w:p>
            <w:pPr>
              <w:pStyle w:val="TableContents"/>
              <w:bidi w:val="0"/>
              <w:spacing w:lineRule="auto" w:line="254" w:before="0" w:after="283"/>
              <w:jc w:val="left"/>
              <w:rPr/>
            </w:pPr>
            <w:hyperlink r:id="rId54">
              <w:r>
                <w:rPr>
                  <w:rStyle w:val="InternetLink"/>
                  <w:rFonts w:ascii="Times New Roman;serif" w:hAnsi="Times New Roman;serif"/>
                  <w:b w:val="false"/>
                  <w:i w:val="false"/>
                  <w:caps w:val="false"/>
                  <w:smallCaps w:val="false"/>
                  <w:color w:val="0000FF"/>
                  <w:sz w:val="20"/>
                  <w:u w:val="single"/>
                </w:rPr>
                <w:t>Nondisclosure, Confidentiality, Assignment and Noncompetition Agreement, dated July 22, 2024, by and between Cabell Lolmaugh and Tile Shop Holdings, Inc. – incorporated by reference to Exhibit 10.1 to the Company’s Quarterly Report on Form 10-Q for the quarter ended June 30, 2024.</w:t>
              </w:r>
            </w:hyperlink>
          </w:p>
        </w:tc>
      </w:tr>
      <w:tr>
        <w:trPr/>
        <w:tc>
          <w:tcPr>
            <w:tcW w:w="649" w:type="dxa"/>
            <w:tcBorders/>
            <w:shd w:fill="CCEEFF" w:val="clear"/>
            <w:vAlign w:val="center"/>
          </w:tcPr>
          <w:p>
            <w:pPr>
              <w:pStyle w:val="TableContents"/>
              <w:bidi w:val="0"/>
              <w:spacing w:lineRule="auto" w:line="254" w:before="0" w:after="283"/>
              <w:jc w:val="center"/>
              <w:rPr/>
            </w:pPr>
            <w:hyperlink r:id="rId55">
              <w:r>
                <w:rPr>
                  <w:rStyle w:val="InternetLink"/>
                  <w:rFonts w:ascii="Times New Roman;serif" w:hAnsi="Times New Roman;serif"/>
                  <w:b w:val="false"/>
                  <w:i w:val="false"/>
                  <w:caps w:val="false"/>
                  <w:smallCaps w:val="false"/>
                  <w:color w:val="0000FF"/>
                  <w:sz w:val="20"/>
                  <w:u w:val="single"/>
                </w:rPr>
                <w:t>10.21*</w:t>
              </w:r>
            </w:hyperlink>
          </w:p>
        </w:tc>
        <w:tc>
          <w:tcPr>
            <w:tcW w:w="9556" w:type="dxa"/>
            <w:tcBorders/>
            <w:shd w:fill="CCEEFF" w:val="clear"/>
            <w:vAlign w:val="center"/>
          </w:tcPr>
          <w:p>
            <w:pPr>
              <w:pStyle w:val="TableContents"/>
              <w:bidi w:val="0"/>
              <w:spacing w:lineRule="auto" w:line="254" w:before="0" w:after="283"/>
              <w:jc w:val="left"/>
              <w:rPr/>
            </w:pPr>
            <w:hyperlink r:id="rId56">
              <w:r>
                <w:rPr>
                  <w:rStyle w:val="InternetLink"/>
                  <w:rFonts w:ascii="Times New Roman;serif" w:hAnsi="Times New Roman;serif"/>
                  <w:b w:val="false"/>
                  <w:i w:val="false"/>
                  <w:caps w:val="false"/>
                  <w:smallCaps w:val="false"/>
                  <w:color w:val="0000FF"/>
                  <w:sz w:val="20"/>
                  <w:u w:val="single"/>
                </w:rPr>
                <w:t>Nondisclosure, Confidentiality, Assignment and Noncompetition Agreement, dated July 22, 2024, by and between Mark Davis and Tile Shop Holdings, Inc. – incorporated by reference to Exhibit 10.2 to the Company’s Quarterly Report on Form 10-Q for the quarter ended June 30, 2024.</w:t>
              </w:r>
            </w:hyperlink>
          </w:p>
        </w:tc>
      </w:tr>
      <w:tr>
        <w:trPr/>
        <w:tc>
          <w:tcPr>
            <w:tcW w:w="649" w:type="dxa"/>
            <w:tcBorders/>
            <w:vAlign w:val="center"/>
          </w:tcPr>
          <w:p>
            <w:pPr>
              <w:pStyle w:val="TableContents"/>
              <w:bidi w:val="0"/>
              <w:spacing w:lineRule="auto" w:line="254" w:before="0" w:after="283"/>
              <w:jc w:val="center"/>
              <w:rPr/>
            </w:pPr>
            <w:hyperlink r:id="rId57">
              <w:r>
                <w:rPr>
                  <w:rStyle w:val="InternetLink"/>
                  <w:rFonts w:ascii="Times New Roman;serif" w:hAnsi="Times New Roman;serif"/>
                  <w:b w:val="false"/>
                  <w:i w:val="false"/>
                  <w:caps w:val="false"/>
                  <w:smallCaps w:val="false"/>
                  <w:color w:val="0000FF"/>
                  <w:sz w:val="20"/>
                  <w:u w:val="single"/>
                </w:rPr>
                <w:t>10.22*</w:t>
              </w:r>
            </w:hyperlink>
          </w:p>
        </w:tc>
        <w:tc>
          <w:tcPr>
            <w:tcW w:w="9556" w:type="dxa"/>
            <w:tcBorders/>
            <w:vAlign w:val="center"/>
          </w:tcPr>
          <w:p>
            <w:pPr>
              <w:pStyle w:val="TableContents"/>
              <w:bidi w:val="0"/>
              <w:spacing w:lineRule="auto" w:line="254" w:before="0" w:after="283"/>
              <w:jc w:val="left"/>
              <w:rPr/>
            </w:pPr>
            <w:hyperlink r:id="rId58">
              <w:r>
                <w:rPr>
                  <w:rStyle w:val="InternetLink"/>
                  <w:rFonts w:ascii="Times New Roman;serif" w:hAnsi="Times New Roman;serif"/>
                  <w:b w:val="false"/>
                  <w:i w:val="false"/>
                  <w:caps w:val="false"/>
                  <w:smallCaps w:val="false"/>
                  <w:color w:val="0000FF"/>
                  <w:sz w:val="20"/>
                  <w:u w:val="single"/>
                </w:rPr>
                <w:t>Nondisclosure, Confidentiality, Assignment and Noncompetition Agreement, dated July 22, 2024, by and between Joseph Kinder and Tile Shop Holdings, Inc. – incorporated by reference to Exhibit 10.3 to the Company’s Quarterly Report on Form 10-Q for the quarter ended June 30, 2024.</w:t>
              </w:r>
            </w:hyperlink>
          </w:p>
        </w:tc>
      </w:tr>
      <w:tr>
        <w:trPr/>
        <w:tc>
          <w:tcPr>
            <w:tcW w:w="649" w:type="dxa"/>
            <w:tcBorders/>
            <w:shd w:fill="CCEEFF" w:val="clear"/>
            <w:vAlign w:val="center"/>
          </w:tcPr>
          <w:p>
            <w:pPr>
              <w:pStyle w:val="TableContents"/>
              <w:bidi w:val="0"/>
              <w:spacing w:lineRule="auto" w:line="254" w:before="0" w:after="283"/>
              <w:jc w:val="center"/>
              <w:rPr/>
            </w:pPr>
            <w:hyperlink r:id="rId59">
              <w:r>
                <w:rPr>
                  <w:rStyle w:val="InternetLink"/>
                  <w:rFonts w:ascii="Times New Roman;serif" w:hAnsi="Times New Roman;serif"/>
                  <w:b w:val="false"/>
                  <w:i w:val="false"/>
                  <w:caps w:val="false"/>
                  <w:smallCaps w:val="false"/>
                  <w:color w:val="0000FF"/>
                  <w:sz w:val="20"/>
                  <w:u w:val="single"/>
                </w:rPr>
                <w:t>10.23***</w:t>
              </w:r>
            </w:hyperlink>
          </w:p>
        </w:tc>
        <w:tc>
          <w:tcPr>
            <w:tcW w:w="9556" w:type="dxa"/>
            <w:tcBorders/>
            <w:shd w:fill="CCEEFF" w:val="clear"/>
            <w:vAlign w:val="center"/>
          </w:tcPr>
          <w:p>
            <w:pPr>
              <w:pStyle w:val="TableContents"/>
              <w:bidi w:val="0"/>
              <w:spacing w:lineRule="auto" w:line="254" w:before="0" w:after="283"/>
              <w:jc w:val="left"/>
              <w:rPr/>
            </w:pPr>
            <w:hyperlink r:id="rId60">
              <w:r>
                <w:rPr>
                  <w:rStyle w:val="InternetLink"/>
                  <w:rFonts w:ascii="Times New Roman;serif" w:hAnsi="Times New Roman;serif"/>
                  <w:b w:val="false"/>
                  <w:i w:val="false"/>
                  <w:caps w:val="false"/>
                  <w:smallCaps w:val="false"/>
                  <w:color w:val="0000FF"/>
                  <w:sz w:val="20"/>
                  <w:u w:val="single"/>
                </w:rPr>
                <w:t>Credit Agreement, dated as of September 30, 2022, by and among The Tile Shop, LLC, as borrower and loan party, Tile Shop Holdings, Inc., Tile Shop Lending, Inc., and The Tile Shop of Michigan, LLC, as guarantors and loan parties, each lender from time to time party thereto, and JPMorgan Chase Bank, N.A., as administrative agent, sole bookrunner and sole lead arranger – incorporated by reference to Exhibit 10.1 to the Company’s Current Report on Form 8-K filed September 30, 2022.</w:t>
              </w:r>
            </w:hyperlink>
          </w:p>
        </w:tc>
      </w:tr>
      <w:tr>
        <w:trPr/>
        <w:tc>
          <w:tcPr>
            <w:tcW w:w="649" w:type="dxa"/>
            <w:tcBorders/>
            <w:vAlign w:val="center"/>
          </w:tcPr>
          <w:p>
            <w:pPr>
              <w:pStyle w:val="TableContents"/>
              <w:bidi w:val="0"/>
              <w:spacing w:lineRule="auto" w:line="254" w:before="0" w:after="283"/>
              <w:jc w:val="center"/>
              <w:rPr/>
            </w:pPr>
            <w:hyperlink r:id="rId61">
              <w:r>
                <w:rPr>
                  <w:rStyle w:val="InternetLink"/>
                  <w:rFonts w:ascii="Times New Roman;serif" w:hAnsi="Times New Roman;serif"/>
                  <w:b w:val="false"/>
                  <w:i w:val="false"/>
                  <w:caps w:val="false"/>
                  <w:smallCaps w:val="false"/>
                  <w:color w:val="0000FF"/>
                  <w:sz w:val="20"/>
                  <w:u w:val="single"/>
                </w:rPr>
                <w:t>10.24***</w:t>
              </w:r>
            </w:hyperlink>
          </w:p>
        </w:tc>
        <w:tc>
          <w:tcPr>
            <w:tcW w:w="9556" w:type="dxa"/>
            <w:tcBorders/>
            <w:vAlign w:val="center"/>
          </w:tcPr>
          <w:p>
            <w:pPr>
              <w:pStyle w:val="TableContents"/>
              <w:bidi w:val="0"/>
              <w:spacing w:lineRule="auto" w:line="254" w:before="0" w:after="283"/>
              <w:jc w:val="left"/>
              <w:rPr/>
            </w:pPr>
            <w:hyperlink r:id="rId62">
              <w:r>
                <w:rPr>
                  <w:rStyle w:val="InternetLink"/>
                  <w:rFonts w:ascii="Times New Roman;serif" w:hAnsi="Times New Roman;serif"/>
                  <w:b w:val="false"/>
                  <w:i w:val="false"/>
                  <w:caps w:val="false"/>
                  <w:smallCaps w:val="false"/>
                  <w:color w:val="0000FF"/>
                  <w:sz w:val="20"/>
                  <w:u w:val="single"/>
                </w:rPr>
                <w:t>Pledge and Security Agreement, dated as of September 30, 2022, by and among The Tile Shop, LLC, Tile Shop Holdings, Inc., Tile Shop Lending, Inc., and The Tile Shop of Michigan, LLC, as grantors, and JPMorgan Chase Bank, N.A., as administrative agent – incorporated by reference to Exhibit 10.2 to the Company’s Current Report on Form 8-K filed September 30, 2022.</w:t>
              </w:r>
            </w:hyperlink>
          </w:p>
        </w:tc>
      </w:tr>
      <w:tr>
        <w:trPr/>
        <w:tc>
          <w:tcPr>
            <w:tcW w:w="649" w:type="dxa"/>
            <w:tcBorders/>
            <w:shd w:fill="CCEEFF" w:val="clear"/>
            <w:vAlign w:val="center"/>
          </w:tcPr>
          <w:p>
            <w:pPr>
              <w:pStyle w:val="TableContents"/>
              <w:bidi w:val="0"/>
              <w:spacing w:lineRule="auto" w:line="254" w:before="0" w:after="283"/>
              <w:jc w:val="center"/>
              <w:rPr/>
            </w:pPr>
            <w:hyperlink w:anchor="ttsh-20251231xex10_25.htm">
              <w:r>
                <w:rPr>
                  <w:rStyle w:val="InternetLink"/>
                  <w:rFonts w:ascii="Times New Roman;serif" w:hAnsi="Times New Roman;serif"/>
                  <w:b w:val="false"/>
                  <w:i w:val="false"/>
                  <w:caps w:val="false"/>
                  <w:smallCaps w:val="false"/>
                  <w:color w:val="0000FF"/>
                  <w:sz w:val="20"/>
                  <w:u w:val="single"/>
                </w:rPr>
                <w:t>10.25</w:t>
              </w:r>
            </w:hyperlink>
          </w:p>
        </w:tc>
        <w:tc>
          <w:tcPr>
            <w:tcW w:w="9556" w:type="dxa"/>
            <w:tcBorders/>
            <w:shd w:fill="CCEEFF" w:val="clear"/>
            <w:vAlign w:val="center"/>
          </w:tcPr>
          <w:p>
            <w:pPr>
              <w:pStyle w:val="TableContents"/>
              <w:bidi w:val="0"/>
              <w:spacing w:lineRule="auto" w:line="254" w:before="0" w:after="283"/>
              <w:jc w:val="left"/>
              <w:rPr/>
            </w:pPr>
            <w:hyperlink w:anchor="ttsh-20251231xex10_25.htm">
              <w:r>
                <w:rPr>
                  <w:rStyle w:val="InternetLink"/>
                  <w:rFonts w:ascii="Times New Roman;serif" w:hAnsi="Times New Roman;serif"/>
                  <w:b w:val="false"/>
                  <w:i w:val="false"/>
                  <w:caps w:val="false"/>
                  <w:smallCaps w:val="false"/>
                  <w:color w:val="0000FF"/>
                  <w:sz w:val="20"/>
                  <w:u w:val="single"/>
                </w:rPr>
                <w:t>Amendment No. 1 to Credit Agreement and Waiver, dated as of January 28, 2026, by and among The Tile Shop, LLC, as borrower and loan party, Tile Shop Holdings, Inc., Tile Shop Lending, Inc., and The Tile Shop of Michigan, LLC, as guarantors and loan parties, each lender from time to time party thereto, and JPMorgan Chase Bank, N.A., as administrative agent, sole bookrunner and sole lead arranger – filed herewith.</w:t>
              </w:r>
            </w:hyperlink>
          </w:p>
        </w:tc>
      </w:tr>
      <w:tr>
        <w:trPr/>
        <w:tc>
          <w:tcPr>
            <w:tcW w:w="649" w:type="dxa"/>
            <w:tcBorders/>
            <w:vAlign w:val="center"/>
          </w:tcPr>
          <w:p>
            <w:pPr>
              <w:pStyle w:val="TableContents"/>
              <w:bidi w:val="0"/>
              <w:spacing w:lineRule="auto" w:line="254" w:before="0" w:after="283"/>
              <w:jc w:val="center"/>
              <w:rPr/>
            </w:pPr>
            <w:hyperlink r:id="rId63">
              <w:r>
                <w:rPr>
                  <w:rStyle w:val="InternetLink"/>
                  <w:rFonts w:ascii="Times New Roman;serif" w:hAnsi="Times New Roman;serif"/>
                  <w:b w:val="false"/>
                  <w:i w:val="false"/>
                  <w:caps w:val="false"/>
                  <w:smallCaps w:val="false"/>
                  <w:color w:val="0000FF"/>
                  <w:sz w:val="20"/>
                  <w:u w:val="single"/>
                </w:rPr>
                <w:t>10.26</w:t>
              </w:r>
            </w:hyperlink>
          </w:p>
        </w:tc>
        <w:tc>
          <w:tcPr>
            <w:tcW w:w="9556" w:type="dxa"/>
            <w:tcBorders/>
            <w:vAlign w:val="center"/>
          </w:tcPr>
          <w:p>
            <w:pPr>
              <w:pStyle w:val="TableContents"/>
              <w:bidi w:val="0"/>
              <w:spacing w:lineRule="auto" w:line="254" w:before="0" w:after="283"/>
              <w:jc w:val="left"/>
              <w:rPr/>
            </w:pPr>
            <w:hyperlink r:id="rId64">
              <w:r>
                <w:rPr>
                  <w:rStyle w:val="InternetLink"/>
                  <w:rFonts w:ascii="Times New Roman;serif" w:hAnsi="Times New Roman;serif"/>
                  <w:b w:val="false"/>
                  <w:i w:val="false"/>
                  <w:caps w:val="false"/>
                  <w:smallCaps w:val="false"/>
                  <w:color w:val="0000FF"/>
                  <w:sz w:val="20"/>
                  <w:u w:val="single"/>
                </w:rPr>
                <w:t>Cooperation and Support Agreement, dated as of December 3, 2025, by and between Tile Shop Holdings, Inc. and Fund 1 Investments, LLC – incorporated by reference to Exhibit 10.1 to the Company’s Current Report on Form 8-K filed December 3, 2025.</w:t>
              </w:r>
            </w:hyperlink>
          </w:p>
        </w:tc>
      </w:tr>
      <w:tr>
        <w:trPr/>
        <w:tc>
          <w:tcPr>
            <w:tcW w:w="649" w:type="dxa"/>
            <w:tcBorders/>
            <w:shd w:fill="CCEEFF" w:val="clear"/>
            <w:vAlign w:val="center"/>
          </w:tcPr>
          <w:p>
            <w:pPr>
              <w:pStyle w:val="TableContents"/>
              <w:bidi w:val="0"/>
              <w:spacing w:lineRule="auto" w:line="254" w:before="0" w:after="283"/>
              <w:jc w:val="center"/>
              <w:rPr/>
            </w:pPr>
            <w:hyperlink r:id="rId65">
              <w:r>
                <w:rPr>
                  <w:rStyle w:val="InternetLink"/>
                  <w:rFonts w:ascii="Times New Roman;serif" w:hAnsi="Times New Roman;serif"/>
                  <w:b w:val="false"/>
                  <w:i w:val="false"/>
                  <w:caps w:val="false"/>
                  <w:smallCaps w:val="false"/>
                  <w:color w:val="0000FF"/>
                  <w:sz w:val="20"/>
                  <w:u w:val="single"/>
                </w:rPr>
                <w:t>19.1</w:t>
              </w:r>
            </w:hyperlink>
          </w:p>
        </w:tc>
        <w:tc>
          <w:tcPr>
            <w:tcW w:w="9556" w:type="dxa"/>
            <w:tcBorders/>
            <w:shd w:fill="CCEEFF" w:val="clear"/>
            <w:vAlign w:val="center"/>
          </w:tcPr>
          <w:p>
            <w:pPr>
              <w:pStyle w:val="TableContents"/>
              <w:bidi w:val="0"/>
              <w:spacing w:lineRule="auto" w:line="254" w:before="0" w:after="283"/>
              <w:jc w:val="left"/>
              <w:rPr/>
            </w:pPr>
            <w:hyperlink r:id="rId66">
              <w:r>
                <w:rPr>
                  <w:rStyle w:val="InternetLink"/>
                  <w:rFonts w:ascii="Times New Roman;serif" w:hAnsi="Times New Roman;serif"/>
                  <w:b w:val="false"/>
                  <w:i w:val="false"/>
                  <w:caps w:val="false"/>
                  <w:smallCaps w:val="false"/>
                  <w:color w:val="0000FF"/>
                  <w:sz w:val="20"/>
                  <w:u w:val="single"/>
                </w:rPr>
                <w:t>Tile Shop Holdings, Inc. Insider Trading Policy (last amended February 28, 2023) – incorporated by reference to Exhibit 19.1 to the Company’s Annual Report on Form 10-K for the year ended December 31, 2023.</w:t>
              </w:r>
            </w:hyperlink>
          </w:p>
        </w:tc>
      </w:tr>
      <w:tr>
        <w:trPr/>
        <w:tc>
          <w:tcPr>
            <w:tcW w:w="649" w:type="dxa"/>
            <w:tcBorders/>
            <w:vAlign w:val="center"/>
          </w:tcPr>
          <w:p>
            <w:pPr>
              <w:pStyle w:val="TableContents"/>
              <w:bidi w:val="0"/>
              <w:spacing w:lineRule="auto" w:line="254" w:before="0" w:after="283"/>
              <w:jc w:val="center"/>
              <w:rPr/>
            </w:pPr>
            <w:hyperlink w:anchor="ttsh-20251231xex21_1.htm">
              <w:r>
                <w:rPr>
                  <w:rStyle w:val="InternetLink"/>
                  <w:rFonts w:ascii="Times New Roman;serif" w:hAnsi="Times New Roman;serif"/>
                  <w:b w:val="false"/>
                  <w:i w:val="false"/>
                  <w:caps w:val="false"/>
                  <w:smallCaps w:val="false"/>
                  <w:color w:val="0000FF"/>
                  <w:sz w:val="20"/>
                  <w:u w:val="single"/>
                </w:rPr>
                <w:t>21.1</w:t>
              </w:r>
            </w:hyperlink>
          </w:p>
        </w:tc>
        <w:tc>
          <w:tcPr>
            <w:tcW w:w="9556" w:type="dxa"/>
            <w:tcBorders/>
            <w:vAlign w:val="center"/>
          </w:tcPr>
          <w:p>
            <w:pPr>
              <w:pStyle w:val="TableContents"/>
              <w:bidi w:val="0"/>
              <w:spacing w:lineRule="auto" w:line="254" w:before="0" w:after="283"/>
              <w:jc w:val="left"/>
              <w:rPr/>
            </w:pPr>
            <w:hyperlink w:anchor="ttsh-20251231xex21_1.htm">
              <w:r>
                <w:rPr>
                  <w:rStyle w:val="InternetLink"/>
                  <w:rFonts w:ascii="Times New Roman;serif" w:hAnsi="Times New Roman;serif"/>
                  <w:b w:val="false"/>
                  <w:i w:val="false"/>
                  <w:caps w:val="false"/>
                  <w:smallCaps w:val="false"/>
                  <w:color w:val="0000FF"/>
                  <w:sz w:val="20"/>
                  <w:u w:val="single"/>
                </w:rPr>
                <w:t>Subsidiaries of Tile Shop Holdings, Inc. – filed herewith.</w:t>
              </w:r>
            </w:hyperlink>
          </w:p>
        </w:tc>
      </w:tr>
      <w:tr>
        <w:trPr/>
        <w:tc>
          <w:tcPr>
            <w:tcW w:w="649" w:type="dxa"/>
            <w:tcBorders/>
            <w:shd w:fill="CCEEFF" w:val="clear"/>
            <w:vAlign w:val="center"/>
          </w:tcPr>
          <w:p>
            <w:pPr>
              <w:pStyle w:val="TableContents"/>
              <w:bidi w:val="0"/>
              <w:spacing w:lineRule="auto" w:line="254" w:before="0" w:after="283"/>
              <w:jc w:val="center"/>
              <w:rPr/>
            </w:pPr>
            <w:hyperlink w:anchor="PowerOfAttorney">
              <w:r>
                <w:rPr>
                  <w:rStyle w:val="InternetLink"/>
                  <w:rFonts w:ascii="Times New Roman;serif" w:hAnsi="Times New Roman;serif"/>
                  <w:b w:val="false"/>
                  <w:i w:val="false"/>
                  <w:caps w:val="false"/>
                  <w:smallCaps w:val="false"/>
                  <w:strike w:val="false"/>
                  <w:dstrike w:val="false"/>
                  <w:color w:val="0000FF"/>
                  <w:sz w:val="20"/>
                  <w:u w:val="single"/>
                  <w:effect w:val="none"/>
                </w:rPr>
                <w:t>24.1</w:t>
              </w:r>
            </w:hyperlink>
          </w:p>
        </w:tc>
        <w:tc>
          <w:tcPr>
            <w:tcW w:w="9556" w:type="dxa"/>
            <w:tcBorders/>
            <w:shd w:fill="CCEEFF" w:val="clear"/>
            <w:vAlign w:val="center"/>
          </w:tcPr>
          <w:p>
            <w:pPr>
              <w:pStyle w:val="TableContents"/>
              <w:bidi w:val="0"/>
              <w:spacing w:lineRule="auto" w:line="254" w:before="0" w:after="283"/>
              <w:jc w:val="left"/>
              <w:rPr/>
            </w:pPr>
            <w:hyperlink w:anchor="PowerOfAttorney">
              <w:r>
                <w:rPr>
                  <w:rStyle w:val="InternetLink"/>
                  <w:rFonts w:ascii="Times New Roman;serif" w:hAnsi="Times New Roman;serif"/>
                  <w:b w:val="false"/>
                  <w:i w:val="false"/>
                  <w:caps w:val="false"/>
                  <w:smallCaps w:val="false"/>
                  <w:strike w:val="false"/>
                  <w:dstrike w:val="false"/>
                  <w:color w:val="0000FF"/>
                  <w:sz w:val="20"/>
                  <w:u w:val="single"/>
                  <w:effect w:val="none"/>
                </w:rPr>
                <w:t>Power of Attorney (included on the “Signatures” page of this Annual Report on Form 10-K) – filed herewith.</w:t>
              </w:r>
            </w:hyperlink>
            <w:r>
              <w:rPr>
                <w:rFonts w:ascii="Times New Roman;serif" w:hAnsi="Times New Roman;serif"/>
                <w:caps w:val="false"/>
                <w:smallCaps w:val="false"/>
                <w:sz w:val="20"/>
              </w:rPr>
              <w:t xml:space="preserve"> </w:t>
            </w:r>
          </w:p>
        </w:tc>
      </w:tr>
      <w:tr>
        <w:trPr/>
        <w:tc>
          <w:tcPr>
            <w:tcW w:w="649" w:type="dxa"/>
            <w:tcBorders/>
            <w:vAlign w:val="center"/>
          </w:tcPr>
          <w:p>
            <w:pPr>
              <w:pStyle w:val="TableContents"/>
              <w:bidi w:val="0"/>
              <w:spacing w:lineRule="auto" w:line="254" w:before="0" w:after="283"/>
              <w:jc w:val="center"/>
              <w:rPr/>
            </w:pPr>
            <w:hyperlink w:anchor="ttsh-20251231xex31_1.htm">
              <w:r>
                <w:rPr>
                  <w:rStyle w:val="InternetLink"/>
                  <w:rFonts w:ascii="Times New Roman;serif" w:hAnsi="Times New Roman;serif"/>
                  <w:b w:val="false"/>
                  <w:i w:val="false"/>
                  <w:caps w:val="false"/>
                  <w:smallCaps w:val="false"/>
                  <w:color w:val="0000FF"/>
                  <w:sz w:val="20"/>
                  <w:u w:val="single"/>
                </w:rPr>
                <w:t>31.1</w:t>
              </w:r>
            </w:hyperlink>
          </w:p>
        </w:tc>
        <w:tc>
          <w:tcPr>
            <w:tcW w:w="9556" w:type="dxa"/>
            <w:tcBorders/>
            <w:vAlign w:val="center"/>
          </w:tcPr>
          <w:p>
            <w:pPr>
              <w:pStyle w:val="TableContents"/>
              <w:bidi w:val="0"/>
              <w:spacing w:lineRule="auto" w:line="254" w:before="0" w:after="283"/>
              <w:jc w:val="left"/>
              <w:rPr/>
            </w:pPr>
            <w:hyperlink w:anchor="ttsh-20251231xex31_1.htm">
              <w:r>
                <w:rPr>
                  <w:rStyle w:val="InternetLink"/>
                  <w:rFonts w:ascii="Times New Roman;serif" w:hAnsi="Times New Roman;serif"/>
                  <w:b w:val="false"/>
                  <w:i w:val="false"/>
                  <w:caps w:val="false"/>
                  <w:smallCaps w:val="false"/>
                  <w:color w:val="0000FF"/>
                  <w:sz w:val="20"/>
                  <w:u w:val="single"/>
                </w:rPr>
                <w:t>Certification by Chief Executive Officer Pursuant to Section 302 of the Sarbanes-Oxley Act of 2002 – filed herewith.</w:t>
              </w:r>
            </w:hyperlink>
          </w:p>
        </w:tc>
      </w:tr>
      <w:tr>
        <w:trPr/>
        <w:tc>
          <w:tcPr>
            <w:tcW w:w="649" w:type="dxa"/>
            <w:tcBorders/>
            <w:shd w:fill="CCEEFF" w:val="clear"/>
            <w:vAlign w:val="center"/>
          </w:tcPr>
          <w:p>
            <w:pPr>
              <w:pStyle w:val="TableContents"/>
              <w:bidi w:val="0"/>
              <w:spacing w:lineRule="auto" w:line="254" w:before="0" w:after="283"/>
              <w:jc w:val="center"/>
              <w:rPr/>
            </w:pPr>
            <w:hyperlink w:anchor="ttsh-20251231xex31_2.htm">
              <w:r>
                <w:rPr>
                  <w:rStyle w:val="InternetLink"/>
                  <w:rFonts w:ascii="Times New Roman;serif" w:hAnsi="Times New Roman;serif"/>
                  <w:b w:val="false"/>
                  <w:i w:val="false"/>
                  <w:caps w:val="false"/>
                  <w:smallCaps w:val="false"/>
                  <w:color w:val="0000FF"/>
                  <w:sz w:val="20"/>
                  <w:u w:val="single"/>
                </w:rPr>
                <w:t>31.2</w:t>
              </w:r>
            </w:hyperlink>
          </w:p>
        </w:tc>
        <w:tc>
          <w:tcPr>
            <w:tcW w:w="9556" w:type="dxa"/>
            <w:tcBorders/>
            <w:shd w:fill="CCEEFF" w:val="clear"/>
            <w:vAlign w:val="center"/>
          </w:tcPr>
          <w:p>
            <w:pPr>
              <w:pStyle w:val="TableContents"/>
              <w:bidi w:val="0"/>
              <w:spacing w:lineRule="auto" w:line="254" w:before="0" w:after="283"/>
              <w:jc w:val="left"/>
              <w:rPr/>
            </w:pPr>
            <w:hyperlink w:anchor="ttsh-20251231xex31_2.htm">
              <w:r>
                <w:rPr>
                  <w:rStyle w:val="InternetLink"/>
                  <w:rFonts w:ascii="Times New Roman;serif" w:hAnsi="Times New Roman;serif"/>
                  <w:b w:val="false"/>
                  <w:i w:val="false"/>
                  <w:caps w:val="false"/>
                  <w:smallCaps w:val="false"/>
                  <w:color w:val="0000FF"/>
                  <w:sz w:val="20"/>
                  <w:u w:val="single"/>
                </w:rPr>
                <w:t>Certification by Chief Financial Officer Pursuant to Section 302 of the Sarbanes-Oxley Act of 2002 – filed herewith.</w:t>
              </w:r>
            </w:hyperlink>
          </w:p>
        </w:tc>
      </w:tr>
      <w:tr>
        <w:trPr/>
        <w:tc>
          <w:tcPr>
            <w:tcW w:w="649" w:type="dxa"/>
            <w:tcBorders/>
            <w:vAlign w:val="center"/>
          </w:tcPr>
          <w:p>
            <w:pPr>
              <w:pStyle w:val="TableContents"/>
              <w:bidi w:val="0"/>
              <w:spacing w:lineRule="auto" w:line="254" w:before="0" w:after="283"/>
              <w:jc w:val="center"/>
              <w:rPr/>
            </w:pPr>
            <w:hyperlink w:anchor="ttsh-20251231xex32_1.htm">
              <w:r>
                <w:rPr>
                  <w:rStyle w:val="InternetLink"/>
                  <w:rFonts w:ascii="Times New Roman;serif" w:hAnsi="Times New Roman;serif"/>
                  <w:b w:val="false"/>
                  <w:i w:val="false"/>
                  <w:caps w:val="false"/>
                  <w:smallCaps w:val="false"/>
                  <w:color w:val="0000FF"/>
                  <w:sz w:val="20"/>
                  <w:u w:val="single"/>
                </w:rPr>
                <w:t>32.1**</w:t>
              </w:r>
            </w:hyperlink>
          </w:p>
        </w:tc>
        <w:tc>
          <w:tcPr>
            <w:tcW w:w="9556" w:type="dxa"/>
            <w:tcBorders/>
            <w:vAlign w:val="center"/>
          </w:tcPr>
          <w:p>
            <w:pPr>
              <w:pStyle w:val="TableContents"/>
              <w:bidi w:val="0"/>
              <w:spacing w:lineRule="auto" w:line="254" w:before="0" w:after="283"/>
              <w:jc w:val="left"/>
              <w:rPr/>
            </w:pPr>
            <w:hyperlink w:anchor="ttsh-20251231xex32_1.htm">
              <w:r>
                <w:rPr>
                  <w:rStyle w:val="InternetLink"/>
                  <w:rFonts w:ascii="Times New Roman;serif" w:hAnsi="Times New Roman;serif"/>
                  <w:b w:val="false"/>
                  <w:i w:val="false"/>
                  <w:caps w:val="false"/>
                  <w:smallCaps w:val="false"/>
                  <w:color w:val="0000FF"/>
                  <w:sz w:val="20"/>
                  <w:u w:val="single"/>
                </w:rPr>
                <w:t>Certification by Chief Executive Officer Pursuant to Section 906 of the Sarbanes-Oxley Act of 2002 – furnished herewith.</w:t>
              </w:r>
            </w:hyperlink>
          </w:p>
        </w:tc>
      </w:tr>
      <w:tr>
        <w:trPr/>
        <w:tc>
          <w:tcPr>
            <w:tcW w:w="649" w:type="dxa"/>
            <w:tcBorders/>
            <w:shd w:fill="CCEEFF" w:val="clear"/>
            <w:vAlign w:val="center"/>
          </w:tcPr>
          <w:p>
            <w:pPr>
              <w:pStyle w:val="TableContents"/>
              <w:bidi w:val="0"/>
              <w:spacing w:lineRule="auto" w:line="254" w:before="0" w:after="283"/>
              <w:jc w:val="center"/>
              <w:rPr/>
            </w:pPr>
            <w:hyperlink w:anchor="ttsh-20251231xex32_2.htm">
              <w:r>
                <w:rPr>
                  <w:rStyle w:val="InternetLink"/>
                  <w:rFonts w:ascii="Times New Roman;serif" w:hAnsi="Times New Roman;serif"/>
                  <w:b w:val="false"/>
                  <w:i w:val="false"/>
                  <w:caps w:val="false"/>
                  <w:smallCaps w:val="false"/>
                  <w:color w:val="0000FF"/>
                  <w:sz w:val="20"/>
                  <w:u w:val="single"/>
                </w:rPr>
                <w:t>32.2**</w:t>
              </w:r>
            </w:hyperlink>
          </w:p>
        </w:tc>
        <w:tc>
          <w:tcPr>
            <w:tcW w:w="9556" w:type="dxa"/>
            <w:tcBorders/>
            <w:shd w:fill="CCEEFF" w:val="clear"/>
            <w:vAlign w:val="center"/>
          </w:tcPr>
          <w:p>
            <w:pPr>
              <w:pStyle w:val="TableContents"/>
              <w:bidi w:val="0"/>
              <w:spacing w:lineRule="auto" w:line="254" w:before="0" w:after="283"/>
              <w:jc w:val="left"/>
              <w:rPr/>
            </w:pPr>
            <w:hyperlink w:anchor="ttsh-20251231xex32_2.htm">
              <w:r>
                <w:rPr>
                  <w:rStyle w:val="InternetLink"/>
                  <w:rFonts w:ascii="Times New Roman;serif" w:hAnsi="Times New Roman;serif"/>
                  <w:b w:val="false"/>
                  <w:i w:val="false"/>
                  <w:caps w:val="false"/>
                  <w:smallCaps w:val="false"/>
                  <w:color w:val="0000FF"/>
                  <w:sz w:val="20"/>
                  <w:u w:val="single"/>
                </w:rPr>
                <w:t>Certification by Chief Financial Officer Pursuant to Section 906 of the Sarbanes-Oxley Act of 2002 – furnished herewith.</w:t>
              </w:r>
            </w:hyperlink>
          </w:p>
        </w:tc>
      </w:tr>
      <w:tr>
        <w:trPr/>
        <w:tc>
          <w:tcPr>
            <w:tcW w:w="649" w:type="dxa"/>
            <w:tcBorders/>
            <w:vAlign w:val="center"/>
          </w:tcPr>
          <w:p>
            <w:pPr>
              <w:pStyle w:val="TableContents"/>
              <w:bidi w:val="0"/>
              <w:spacing w:lineRule="auto" w:line="254" w:before="0" w:after="283"/>
              <w:jc w:val="center"/>
              <w:rPr/>
            </w:pPr>
            <w:hyperlink r:id="rId67">
              <w:r>
                <w:rPr>
                  <w:rStyle w:val="InternetLink"/>
                  <w:rFonts w:ascii="Times New Roman;serif" w:hAnsi="Times New Roman;serif"/>
                  <w:b w:val="false"/>
                  <w:i w:val="false"/>
                  <w:caps w:val="false"/>
                  <w:smallCaps w:val="false"/>
                  <w:color w:val="0000FF"/>
                  <w:sz w:val="20"/>
                  <w:u w:val="single"/>
                </w:rPr>
                <w:t>97.1</w:t>
              </w:r>
            </w:hyperlink>
          </w:p>
        </w:tc>
        <w:tc>
          <w:tcPr>
            <w:tcW w:w="9556" w:type="dxa"/>
            <w:tcBorders/>
            <w:vAlign w:val="center"/>
          </w:tcPr>
          <w:p>
            <w:pPr>
              <w:pStyle w:val="TableContents"/>
              <w:bidi w:val="0"/>
              <w:spacing w:lineRule="auto" w:line="254" w:before="0" w:after="283"/>
              <w:jc w:val="left"/>
              <w:rPr/>
            </w:pPr>
            <w:hyperlink r:id="rId68">
              <w:r>
                <w:rPr>
                  <w:rStyle w:val="InternetLink"/>
                  <w:rFonts w:ascii="Times New Roman;serif" w:hAnsi="Times New Roman;serif"/>
                  <w:b w:val="false"/>
                  <w:i w:val="false"/>
                  <w:caps w:val="false"/>
                  <w:smallCaps w:val="false"/>
                  <w:color w:val="0000FF"/>
                  <w:sz w:val="20"/>
                  <w:u w:val="single"/>
                </w:rPr>
                <w:t>Tile Shop Holdings, Inc. Compensation Recovery Policy (effective February 28, 2023) – incorporated by reference to Exhibit 97.1 to the Company’s Annual Report on Form 10-K for the year ended December 31, 2023.</w:t>
              </w:r>
            </w:hyperlink>
          </w:p>
        </w:tc>
      </w:tr>
      <w:tr>
        <w:trPr/>
        <w:tc>
          <w:tcPr>
            <w:tcW w:w="649" w:type="dxa"/>
            <w:tcBorders/>
            <w:shd w:fill="CCEEFF" w:val="clear"/>
            <w:vAlign w:val="center"/>
          </w:tcPr>
          <w:p>
            <w:pPr>
              <w:pStyle w:val="TableContents"/>
              <w:bidi w:val="0"/>
              <w:spacing w:lineRule="auto" w:line="254" w:before="0" w:after="283"/>
              <w:jc w:val="center"/>
              <w:rPr/>
            </w:pPr>
            <w:hyperlink r:id="rId69">
              <w:r>
                <w:rPr>
                  <w:rStyle w:val="InternetLink"/>
                  <w:rFonts w:ascii="Times New Roman;serif" w:hAnsi="Times New Roman;serif"/>
                  <w:b w:val="false"/>
                  <w:i w:val="false"/>
                  <w:caps w:val="false"/>
                  <w:smallCaps w:val="false"/>
                  <w:color w:val="0000EE"/>
                  <w:sz w:val="20"/>
                  <w:u w:val="single"/>
                </w:rPr>
                <w:t>99.1</w:t>
              </w:r>
            </w:hyperlink>
          </w:p>
        </w:tc>
        <w:tc>
          <w:tcPr>
            <w:tcW w:w="9556" w:type="dxa"/>
            <w:tcBorders/>
            <w:shd w:fill="CCEEFF" w:val="clear"/>
            <w:vAlign w:val="center"/>
          </w:tcPr>
          <w:p>
            <w:pPr>
              <w:pStyle w:val="TableContents"/>
              <w:bidi w:val="0"/>
              <w:spacing w:lineRule="auto" w:line="254" w:before="0" w:after="283"/>
              <w:jc w:val="left"/>
              <w:rPr/>
            </w:pPr>
            <w:hyperlink r:id="rId70">
              <w:r>
                <w:rPr>
                  <w:rStyle w:val="InternetLink"/>
                  <w:rFonts w:ascii="Times New Roman;serif" w:hAnsi="Times New Roman;serif"/>
                  <w:b w:val="false"/>
                  <w:i w:val="false"/>
                  <w:caps w:val="false"/>
                  <w:smallCaps w:val="false"/>
                  <w:color w:val="0000EE"/>
                  <w:sz w:val="20"/>
                  <w:u w:val="single"/>
                </w:rPr>
                <w:t>Director Standstill Commitment – incorporated by reference to Exhibit 99.1 to the Company’s Current Report on Form 8-K filed on January 13, 2020.</w:t>
              </w:r>
            </w:hyperlink>
          </w:p>
        </w:tc>
      </w:tr>
      <w:tr>
        <w:trPr/>
        <w:tc>
          <w:tcPr>
            <w:tcW w:w="649"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c>
          <w:tcPr>
            <w:tcW w:w="9556" w:type="dxa"/>
            <w:tcBorders/>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financial statements from the Annual Report on Form 10-K for the year ended December 31, 2025 are formatted in iXBRL (Inline eXtensible Business Reporting Language): (i) Consolidated Balance Sheets, (ii) Consolidated Statements of Operations, (iii) Consolidated Statements of Comprehensive (Loss) Income, (iv) Consolidated Statements of Stockholders’ Equity, (v) Consolidated Statements of Cash Flows, and (vi) the Notes to Consolidated Financial Statements – filed herewith.</w:t>
            </w:r>
          </w:p>
        </w:tc>
      </w:tr>
      <w:tr>
        <w:trPr/>
        <w:tc>
          <w:tcPr>
            <w:tcW w:w="649" w:type="dxa"/>
            <w:tcBorders/>
            <w:shd w:fill="CCEEFF" w:val="clear"/>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w:t>
            </w:r>
          </w:p>
        </w:tc>
        <w:tc>
          <w:tcPr>
            <w:tcW w:w="9556" w:type="dxa"/>
            <w:tcBorders/>
            <w:shd w:fill="CCEEFF" w:val="clear"/>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Cover Page Interactive Data File (formatted as Inline XBRL and contained in Exhibit 101) – filed herewith.</w:t>
            </w:r>
          </w:p>
        </w:tc>
      </w:tr>
    </w:tbl>
    <w:p>
      <w:pPr>
        <w:pStyle w:val="TextBody"/>
        <w:bidi w:val="0"/>
        <w:spacing w:lineRule="auto" w:line="259" w:before="0" w:after="1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___________________________</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Management compensatory plan or arrangement.</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These certifications are not deemed filed with the Securities and Exchange Commission and are not to be incorporated by reference in any filing we make under the Securities Act of 1933, as amended, or the Exchange Act.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Certain schedules and exhibits have been omitted pursuant to Regulation S-K, Item 601(a)(5). The Company will provide a copy of any omitted schedule or exhibit to the Securities and Exchange Commission or its staff upon request.</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color w:val="000000"/>
          <w:sz w:val="20"/>
        </w:rPr>
        <w:t>SIGNATURES</w:t>
      </w:r>
      <w:r>
        <w:rPr>
          <w:rFonts w:ascii="Times New Roman;serif" w:hAnsi="Times New Roman;serif"/>
          <w:caps w:val="false"/>
          <w:smallCaps w:val="false"/>
          <w:sz w:val="20"/>
        </w:rPr>
        <w:t xml:space="preserve"> </w:t>
      </w:r>
      <w:bookmarkStart w:id="115" w:name="Signatures"/>
      <w:bookmarkEnd w:id="115"/>
    </w:p>
    <w:p>
      <w:pPr>
        <w:pStyle w:val="TextBody"/>
        <w:bidi w:val="0"/>
        <w:spacing w:lineRule="auto" w:line="259"/>
        <w:ind w:left="0" w:right="115" w:firstLine="7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Section 13 or 15(d) of the Securities Exchange Act of 1934, the Registrant has duly caused this report to be signed on its behalf by the undersigned, thereunto duly authorized. </w:t>
      </w:r>
    </w:p>
    <w:tbl>
      <w:tblPr>
        <w:tblW w:w="4847" w:type="dxa"/>
        <w:jc w:val="left"/>
        <w:tblInd w:w="0" w:type="dxa"/>
        <w:tblLayout w:type="fixed"/>
        <w:tblCellMar>
          <w:top w:w="0" w:type="dxa"/>
          <w:left w:w="0" w:type="dxa"/>
          <w:bottom w:w="0" w:type="dxa"/>
          <w:right w:w="0" w:type="dxa"/>
        </w:tblCellMar>
      </w:tblPr>
      <w:tblGrid>
        <w:gridCol w:w="2086"/>
        <w:gridCol w:w="2761"/>
      </w:tblGrid>
      <w:tr>
        <w:trPr/>
        <w:tc>
          <w:tcPr>
            <w:tcW w:w="20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
              </w:rPr>
            </w:pPr>
            <w:r>
              <w:rPr>
                <w:rFonts w:ascii="Times New Roman;serif" w:hAnsi="Times New Roman;serif"/>
                <w:b w:val="false"/>
                <w:i w:val="false"/>
                <w:caps w:val="false"/>
                <w:smallCaps w:val="false"/>
                <w:color w:val="000000"/>
                <w:sz w:val="2"/>
              </w:rPr>
              <w:t>88</w:t>
            </w:r>
          </w:p>
        </w:tc>
        <w:tc>
          <w:tcPr>
            <w:tcW w:w="276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lineRule="auto" w:line="259" w:before="0" w:after="283"/>
              <w:jc w:val="left"/>
              <w:rPr>
                <w:rFonts w:cs="Tahoma;sans-serif"/>
                <w:bCs w:val="false"/>
                <w:iCs w:val="false"/>
                <w:caps w:val="false"/>
                <w:smallCaps w:val="false"/>
                <w:color w:val="000000"/>
                <w:szCs w:val="2"/>
              </w:rPr>
            </w:pPr>
            <w:r>
              <w:rPr>
                <w:rFonts w:cs="Tahoma;sans-serif"/>
                <w:bCs w:val="false"/>
                <w:iCs w:val="false"/>
                <w:caps w:val="false"/>
                <w:smallCaps w:val="false"/>
                <w:color w:val="000000"/>
                <w:szCs w:val="2"/>
              </w:rPr>
              <w:t>﻿</w:t>
            </w:r>
          </w:p>
        </w:tc>
        <w:tc>
          <w:tcPr>
            <w:tcW w:w="276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w:t>
            </w:r>
          </w:p>
        </w:tc>
      </w:tr>
      <w:tr>
        <w:trPr/>
        <w:tc>
          <w:tcPr>
            <w:tcW w:w="208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Date: February</w:t>
            </w:r>
            <w:r>
              <w:rPr>
                <w:rFonts w:ascii="Times New Roman;serif" w:hAnsi="Times New Roman;serif"/>
                <w:caps w:val="false"/>
                <w:smallCaps w:val="false"/>
                <w:color w:val="000000"/>
                <w:sz w:val="20"/>
              </w:rPr>
              <w:t> </w:t>
            </w:r>
            <w:r>
              <w:rPr>
                <w:rFonts w:ascii="Times New Roman;serif" w:hAnsi="Times New Roman;serif"/>
                <w:b w:val="false"/>
                <w:i w:val="false"/>
                <w:caps w:val="false"/>
                <w:smallCaps w:val="false"/>
                <w:color w:val="000000"/>
                <w:sz w:val="20"/>
              </w:rPr>
              <w:t>26, 2026</w:t>
            </w:r>
          </w:p>
        </w:tc>
        <w:tc>
          <w:tcPr>
            <w:tcW w:w="27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CABELL H. LOLMAUGH</w:t>
            </w:r>
          </w:p>
        </w:tc>
      </w:tr>
      <w:tr>
        <w:trPr/>
        <w:tc>
          <w:tcPr>
            <w:tcW w:w="2086" w:type="dxa"/>
            <w:tcBorders/>
            <w:vAlign w:val="center"/>
          </w:tcPr>
          <w:p>
            <w:pPr>
              <w:pStyle w:val="TableContents"/>
              <w:bidi w:val="0"/>
              <w:spacing w:before="0" w:after="283"/>
              <w:jc w:val="left"/>
              <w:rPr>
                <w:sz w:val="4"/>
                <w:szCs w:val="4"/>
              </w:rPr>
            </w:pPr>
            <w:r>
              <w:rPr>
                <w:sz w:val="4"/>
                <w:szCs w:val="4"/>
              </w:rPr>
            </w:r>
          </w:p>
        </w:tc>
        <w:tc>
          <w:tcPr>
            <w:tcW w:w="276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Cabell H. Lolmaugh</w:t>
            </w:r>
          </w:p>
        </w:tc>
      </w:tr>
      <w:tr>
        <w:trPr/>
        <w:tc>
          <w:tcPr>
            <w:tcW w:w="208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POWER OF ATTORNEY</w:t>
      </w:r>
      <w:bookmarkStart w:id="116" w:name="PowerOfAttorney"/>
      <w:bookmarkEnd w:id="116"/>
    </w:p>
    <w:p>
      <w:pPr>
        <w:pStyle w:val="TextBody"/>
        <w:bidi w:val="0"/>
        <w:spacing w:lineRule="auto" w:line="259"/>
        <w:ind w:left="0" w:right="0" w:firstLine="691"/>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Each person whose signature appears below constitutes CABELL H. LOLMAUGH and MARK B. DAVIS, or any of them, as his or her true and lawful attorney-in-fact and agent, with full power of substitution and resubstitution, for him or her and in his or her name, place and stead, in any and all capacities, to sign any or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said attorney-in-fact and agent, or his or her substitute or substitutes, may lawfully do or cause to be done by virtue thereof. </w:t>
      </w:r>
    </w:p>
    <w:p>
      <w:pPr>
        <w:pStyle w:val="TextBody"/>
        <w:bidi w:val="0"/>
        <w:spacing w:lineRule="auto" w:line="259"/>
        <w:ind w:left="0" w:right="0" w:firstLine="691"/>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the Securities Exchange Act of 1934, this report has been signed below by the following persons on behalf of the Registrant and in the capacities and on the dates indicated. </w:t>
      </w:r>
    </w:p>
    <w:tbl>
      <w:tblPr>
        <w:tblW w:w="9446" w:type="dxa"/>
        <w:jc w:val="left"/>
        <w:tblInd w:w="0" w:type="dxa"/>
        <w:tblLayout w:type="fixed"/>
        <w:tblCellMar>
          <w:top w:w="0" w:type="dxa"/>
          <w:left w:w="0" w:type="dxa"/>
          <w:bottom w:w="0" w:type="dxa"/>
          <w:right w:w="0" w:type="dxa"/>
        </w:tblCellMar>
      </w:tblPr>
      <w:tblGrid>
        <w:gridCol w:w="2491"/>
        <w:gridCol w:w="109"/>
        <w:gridCol w:w="5101"/>
        <w:gridCol w:w="109"/>
        <w:gridCol w:w="1636"/>
      </w:tblGrid>
      <w:tr>
        <w:trPr/>
        <w:tc>
          <w:tcPr>
            <w:tcW w:w="2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lineRule="auto" w:line="254"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Signature </w:t>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lineRule="auto" w:line="254"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Title</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4"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Date</w:t>
            </w:r>
          </w:p>
        </w:tc>
      </w:tr>
      <w:tr>
        <w:trPr/>
        <w:tc>
          <w:tcPr>
            <w:tcW w:w="249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491" w:type="dxa"/>
            <w:tcBorders>
              <w:bottom w:val="single" w:sz="8" w:space="0" w:color="000000"/>
            </w:tcBorders>
            <w:tcMar>
              <w:bottom w:w="28" w:type="dxa"/>
            </w:tcMar>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CABELL H. LOLMAUGH</w:t>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Chief Executive Officer, 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February 26, 2026</w:t>
            </w:r>
          </w:p>
        </w:tc>
      </w:tr>
      <w:tr>
        <w:trPr/>
        <w:tc>
          <w:tcPr>
            <w:tcW w:w="2491" w:type="dxa"/>
            <w:tcBorders>
              <w:top w:val="single" w:sz="8" w:space="0" w:color="000000"/>
            </w:tcBorders>
            <w:tcMar>
              <w:top w:w="28" w:type="dxa"/>
            </w:tcMar>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Cabell H. Lolmaugh</w:t>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(Principal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8" w:space="0" w:color="000000"/>
            </w:tcBorders>
            <w:tcMar>
              <w:bottom w:w="28" w:type="dxa"/>
            </w:tcMar>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MARK B. DAVIS</w:t>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Senior Vice President, Chief Financial Officer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February 26, 2026</w:t>
            </w:r>
          </w:p>
        </w:tc>
      </w:tr>
      <w:tr>
        <w:trPr/>
        <w:tc>
          <w:tcPr>
            <w:tcW w:w="2491" w:type="dxa"/>
            <w:tcBorders>
              <w:top w:val="single" w:sz="8" w:space="0" w:color="000000"/>
            </w:tcBorders>
            <w:tcMar>
              <w:top w:w="28" w:type="dxa"/>
            </w:tcMar>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Mark B. Davis</w:t>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(Principal Financial Officer and Principal Accounting Officer)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8" w:space="0" w:color="000000"/>
            </w:tcBorders>
            <w:tcMar>
              <w:bottom w:w="28" w:type="dxa"/>
            </w:tcMar>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PETER H. KAMIN</w:t>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Director and Chairman of the Board of Directors</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February 26, 2026</w:t>
            </w:r>
          </w:p>
        </w:tc>
      </w:tr>
      <w:tr>
        <w:trPr/>
        <w:tc>
          <w:tcPr>
            <w:tcW w:w="2491" w:type="dxa"/>
            <w:tcBorders>
              <w:top w:val="single" w:sz="8" w:space="0" w:color="000000"/>
            </w:tcBorders>
            <w:tcMar>
              <w:top w:w="28" w:type="dxa"/>
            </w:tcMar>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Peter H. Kamin</w:t>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8" w:space="0" w:color="000000"/>
            </w:tcBorders>
            <w:tcMar>
              <w:bottom w:w="28" w:type="dxa"/>
            </w:tcMar>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MARK J. BONNEY</w:t>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February 26, 2026</w:t>
            </w:r>
          </w:p>
        </w:tc>
      </w:tr>
      <w:tr>
        <w:trPr/>
        <w:tc>
          <w:tcPr>
            <w:tcW w:w="2491" w:type="dxa"/>
            <w:tcBorders>
              <w:top w:val="single" w:sz="8" w:space="0" w:color="000000"/>
            </w:tcBorders>
            <w:tcMar>
              <w:top w:w="28" w:type="dxa"/>
            </w:tcMar>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Mark J. Bonney</w:t>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8" w:space="0" w:color="000000"/>
            </w:tcBorders>
            <w:tcMar>
              <w:bottom w:w="28" w:type="dxa"/>
            </w:tcMar>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BENJAMIN FAW</w:t>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February 26, 2026</w:t>
            </w:r>
          </w:p>
        </w:tc>
      </w:tr>
      <w:tr>
        <w:trPr/>
        <w:tc>
          <w:tcPr>
            <w:tcW w:w="2491" w:type="dxa"/>
            <w:tcBorders>
              <w:top w:val="single" w:sz="8" w:space="0" w:color="000000"/>
            </w:tcBorders>
            <w:tcMar>
              <w:top w:w="28" w:type="dxa"/>
            </w:tcMar>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Benjamin Faw</w:t>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8" w:space="0" w:color="000000"/>
            </w:tcBorders>
            <w:tcMar>
              <w:bottom w:w="28" w:type="dxa"/>
            </w:tcMar>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DEBORAH K. GLASSER</w:t>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February 26, 2026</w:t>
            </w:r>
          </w:p>
        </w:tc>
      </w:tr>
      <w:tr>
        <w:trPr/>
        <w:tc>
          <w:tcPr>
            <w:tcW w:w="2491" w:type="dxa"/>
            <w:tcBorders>
              <w:top w:val="single" w:sz="8" w:space="0" w:color="000000"/>
            </w:tcBorders>
            <w:tcMar>
              <w:top w:w="28" w:type="dxa"/>
            </w:tcMar>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Deborah K. Glasser</w:t>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8" w:space="0" w:color="000000"/>
            </w:tcBorders>
            <w:tcMar>
              <w:bottom w:w="28" w:type="dxa"/>
            </w:tcMar>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PETER J. JACULLO, III</w:t>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February 26, 2026</w:t>
            </w:r>
          </w:p>
        </w:tc>
      </w:tr>
      <w:tr>
        <w:trPr/>
        <w:tc>
          <w:tcPr>
            <w:tcW w:w="2491" w:type="dxa"/>
            <w:tcBorders>
              <w:top w:val="single" w:sz="8" w:space="0" w:color="000000"/>
            </w:tcBorders>
            <w:tcMar>
              <w:top w:w="28" w:type="dxa"/>
            </w:tcMar>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Peter J. Jacullo, III</w:t>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8" w:space="0" w:color="000000"/>
            </w:tcBorders>
            <w:tcMar>
              <w:bottom w:w="28" w:type="dxa"/>
            </w:tcMar>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JONATHAN LENNON</w:t>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uto" w:line="254"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February 26, 2026</w:t>
            </w:r>
          </w:p>
        </w:tc>
      </w:tr>
      <w:tr>
        <w:trPr/>
        <w:tc>
          <w:tcPr>
            <w:tcW w:w="2491" w:type="dxa"/>
            <w:tcBorders>
              <w:top w:val="single" w:sz="8" w:space="0" w:color="000000"/>
            </w:tcBorders>
            <w:tcMar>
              <w:top w:w="28" w:type="dxa"/>
            </w:tcMar>
            <w:vAlign w:val="center"/>
          </w:tcPr>
          <w:p>
            <w:pPr>
              <w:pStyle w:val="TableContents"/>
              <w:bidi w:val="0"/>
              <w:spacing w:lineRule="auto" w:line="254"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Jonathan Lennon</w:t>
            </w:r>
          </w:p>
        </w:tc>
        <w:tc>
          <w:tcPr>
            <w:tcW w:w="109" w:type="dxa"/>
            <w:tcBorders/>
            <w:vAlign w:val="center"/>
          </w:tcPr>
          <w:p>
            <w:pPr>
              <w:pStyle w:val="TableContents"/>
              <w:bidi w:val="0"/>
              <w:spacing w:before="0" w:after="283"/>
              <w:jc w:val="left"/>
              <w:rPr>
                <w:sz w:val="4"/>
                <w:szCs w:val="4"/>
              </w:rPr>
            </w:pPr>
            <w:r>
              <w:rPr>
                <w:sz w:val="4"/>
                <w:szCs w:val="4"/>
              </w:rPr>
            </w:r>
          </w:p>
        </w:tc>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w:t>
      </w:r>
    </w:p>
    <w:p>
      <w:pPr>
        <w:pStyle w:val="TextBody"/>
        <w:bidi w:val="0"/>
        <w:spacing w:before="0" w:after="0"/>
        <w:ind w:left="1440" w:right="1440" w:hanging="0"/>
        <w:jc w:val="right"/>
        <w:rPr>
          <w:rFonts w:ascii="Times New Roman" w:hAnsi="Times New Roman"/>
          <w:sz w:val="22"/>
        </w:rPr>
      </w:pPr>
      <w:bookmarkStart w:id="117" w:name="c800-20251231xex10_25.htm"/>
      <w:bookmarkStart w:id="118" w:name="ksc80020251231xex10_25"/>
      <w:bookmarkEnd w:id="117"/>
      <w:bookmarkEnd w:id="118"/>
      <w:r>
        <w:rPr>
          <w:rFonts w:ascii="Times New Roman" w:hAnsi="Times New Roman"/>
          <w:b/>
          <w:sz w:val="22"/>
        </w:rPr>
        <w:t>Exhibit 10.25</w:t>
      </w:r>
      <w:r>
        <w:rPr>
          <w:rFonts w:ascii="Times New Roman" w:hAnsi="Times New Roman"/>
          <w:sz w:val="22"/>
        </w:rPr>
        <w:t xml:space="preserve"> </w:t>
      </w:r>
      <w:r>
        <w:br w:type="page"/>
      </w:r>
    </w:p>
    <w:p>
      <w:pPr>
        <w:pStyle w:val="TextBody"/>
        <w:bidi w:val="0"/>
        <w:spacing w:before="0" w:after="0"/>
        <w:ind w:left="1440" w:right="1440" w:hanging="0"/>
        <w:jc w:val="center"/>
        <w:rPr>
          <w:rFonts w:ascii="Times New Roman" w:hAnsi="Times New Roman"/>
          <w:b/>
          <w:sz w:val="22"/>
        </w:rPr>
      </w:pPr>
      <w:bookmarkStart w:id="119" w:name="_Hlk219196556"/>
      <w:bookmarkEnd w:id="119"/>
      <w:r>
        <w:rPr>
          <w:rFonts w:ascii="Times New Roman" w:hAnsi="Times New Roman"/>
          <w:b/>
          <w:sz w:val="22"/>
        </w:rPr>
        <w:t xml:space="preserve">AMENDMENT NO. 1 TO </w:t>
      </w:r>
      <w:r>
        <w:rPr>
          <w:rFonts w:ascii="Times New Roman" w:hAnsi="Times New Roman"/>
          <w:b/>
          <w:caps/>
          <w:sz w:val="22"/>
        </w:rPr>
        <w:t>CREDIT AGREEMENT AND WAIVER</w:t>
      </w:r>
      <w:r>
        <w:rPr>
          <w:rFonts w:ascii="Times New Roman" w:hAnsi="Times New Roman"/>
          <w:b/>
          <w:sz w:val="22"/>
        </w:rPr>
        <w:t xml:space="preserve"> </w:t>
      </w:r>
    </w:p>
    <w:p>
      <w:pPr>
        <w:pStyle w:val="TextBody"/>
        <w:bidi w:val="0"/>
        <w:spacing w:before="0" w:after="0"/>
        <w:ind w:left="1440" w:right="1440" w:hanging="0"/>
        <w:jc w:val="both"/>
        <w:rPr>
          <w:rFonts w:cs="Times New Roman"/>
          <w:szCs w:val="22"/>
        </w:rPr>
      </w:pPr>
      <w:r>
        <w:rPr>
          <w:rFonts w:cs="Times New Roman"/>
          <w:szCs w:val="22"/>
        </w:rPr>
        <w:t xml:space="preserve">﻿ </w:t>
      </w:r>
    </w:p>
    <w:p>
      <w:pPr>
        <w:pStyle w:val="TextBody"/>
        <w:bidi w:val="0"/>
        <w:spacing w:before="0" w:after="240"/>
        <w:ind w:left="1440" w:right="1440" w:firstLine="720"/>
        <w:jc w:val="both"/>
        <w:rPr>
          <w:rFonts w:ascii="Times New Roman" w:hAnsi="Times New Roman"/>
          <w:sz w:val="22"/>
        </w:rPr>
      </w:pPr>
      <w:r>
        <w:rPr>
          <w:rFonts w:ascii="Times New Roman" w:hAnsi="Times New Roman"/>
          <w:sz w:val="22"/>
        </w:rPr>
        <w:t xml:space="preserve">THIS AMENDMENT NO. 1 TO </w:t>
      </w:r>
      <w:r>
        <w:rPr>
          <w:rFonts w:ascii="Times New Roman" w:hAnsi="Times New Roman"/>
          <w:caps/>
          <w:sz w:val="22"/>
        </w:rPr>
        <w:t xml:space="preserve">credit </w:t>
      </w:r>
      <w:r>
        <w:rPr>
          <w:rFonts w:ascii="Times New Roman" w:hAnsi="Times New Roman"/>
          <w:sz w:val="22"/>
        </w:rPr>
        <w:t>AGREEMENT AND WAIVER (this “</w:t>
      </w:r>
      <w:r>
        <w:rPr>
          <w:rFonts w:ascii="Times New Roman" w:hAnsi="Times New Roman"/>
          <w:sz w:val="22"/>
          <w:u w:val="single"/>
        </w:rPr>
        <w:t>Amendment</w:t>
      </w:r>
      <w:r>
        <w:rPr>
          <w:rFonts w:ascii="Times New Roman" w:hAnsi="Times New Roman"/>
          <w:sz w:val="22"/>
        </w:rPr>
        <w:t>”) is made and entered into as of January 28, 2026, by and among THE TILE SHOP, LLC, a Delaware limited liability company (“</w:t>
      </w:r>
      <w:r>
        <w:rPr>
          <w:rFonts w:ascii="Times New Roman" w:hAnsi="Times New Roman"/>
          <w:sz w:val="22"/>
          <w:u w:val="single"/>
        </w:rPr>
        <w:t>Borrower</w:t>
      </w:r>
      <w:r>
        <w:rPr>
          <w:rFonts w:ascii="Times New Roman" w:hAnsi="Times New Roman"/>
          <w:sz w:val="22"/>
        </w:rPr>
        <w:t>”), the other Loan Parties party hereto, the Lenders party hereto, and JPMORGAN CHASE BANK, N.A., as administrative agent (the “</w:t>
      </w:r>
      <w:r>
        <w:rPr>
          <w:rFonts w:ascii="Times New Roman" w:hAnsi="Times New Roman"/>
          <w:sz w:val="22"/>
          <w:u w:val="single"/>
        </w:rPr>
        <w:t>Administrative Agent</w:t>
      </w:r>
      <w:r>
        <w:rPr>
          <w:rFonts w:ascii="Times New Roman" w:hAnsi="Times New Roman"/>
          <w:sz w:val="22"/>
        </w:rPr>
        <w:t xml:space="preserve">”). </w:t>
      </w:r>
    </w:p>
    <w:p>
      <w:pPr>
        <w:pStyle w:val="TextBody"/>
        <w:bidi w:val="0"/>
        <w:spacing w:before="0" w:after="240"/>
        <w:ind w:left="1440" w:right="1440" w:hanging="0"/>
        <w:jc w:val="center"/>
        <w:rPr>
          <w:rFonts w:ascii="Times New Roman" w:hAnsi="Times New Roman"/>
          <w:b/>
          <w:sz w:val="22"/>
        </w:rPr>
      </w:pPr>
      <w:r>
        <w:rPr>
          <w:rFonts w:ascii="Times New Roman" w:hAnsi="Times New Roman"/>
          <w:b w:val="false"/>
          <w:sz w:val="22"/>
        </w:rPr>
        <w:t>RECITALS:</w:t>
      </w:r>
      <w:r>
        <w:rPr>
          <w:rFonts w:ascii="Times New Roman" w:hAnsi="Times New Roman"/>
          <w:b/>
          <w:sz w:val="22"/>
        </w:rPr>
        <w:t xml:space="preserve"> </w:t>
      </w:r>
    </w:p>
    <w:p>
      <w:pPr>
        <w:pStyle w:val="TextBody"/>
        <w:pBdr/>
        <w:bidi w:val="0"/>
        <w:spacing w:before="0" w:after="240"/>
        <w:ind w:left="1440" w:right="1440" w:hanging="0"/>
        <w:jc w:val="left"/>
        <w:rPr>
          <w:rFonts w:ascii="Times New Roman" w:hAnsi="Times New Roman"/>
          <w:sz w:val="22"/>
        </w:rPr>
      </w:pPr>
      <w:r>
        <w:rPr>
          <w:rFonts w:ascii="Times New Roman" w:hAnsi="Times New Roman"/>
          <w:color w:val="000000"/>
          <w:sz w:val="22"/>
        </w:rPr>
        <w:t>A.The Borrower, the Loan Parties party hereto, the Lenders party hereto and the Administrative Agent are parties to a certain Credit Agreement dated as of September 30, 2022 (as amended, supplemented, amended and restated or otherwise modified from time to time prior to the date hereof, the “</w:t>
      </w:r>
      <w:r>
        <w:rPr>
          <w:rFonts w:ascii="Times New Roman" w:hAnsi="Times New Roman"/>
          <w:color w:val="000000"/>
          <w:sz w:val="22"/>
          <w:u w:val="single"/>
        </w:rPr>
        <w:t>Credit Agreement</w:t>
      </w:r>
      <w:r>
        <w:rPr>
          <w:rFonts w:ascii="Times New Roman" w:hAnsi="Times New Roman"/>
          <w:color w:val="000000"/>
          <w:sz w:val="22"/>
        </w:rPr>
        <w:t>”).  Capitalized terms used herein without definition shall have the meanings assigned to such terms in the Credit Agreement.</w:t>
      </w:r>
      <w:r>
        <w:rPr>
          <w:rFonts w:ascii="Times New Roman" w:hAnsi="Times New Roman"/>
          <w:sz w:val="22"/>
        </w:rPr>
        <w:t xml:space="preserve"> </w:t>
      </w:r>
    </w:p>
    <w:p>
      <w:pPr>
        <w:pStyle w:val="TextBody"/>
        <w:pBdr/>
        <w:bidi w:val="0"/>
        <w:spacing w:before="0" w:after="240"/>
        <w:ind w:left="1440" w:right="1440" w:hanging="0"/>
        <w:jc w:val="left"/>
        <w:rPr>
          <w:rFonts w:ascii="Times New Roman" w:hAnsi="Times New Roman"/>
          <w:sz w:val="22"/>
        </w:rPr>
      </w:pPr>
      <w:r>
        <w:rPr>
          <w:rFonts w:ascii="Times New Roman" w:hAnsi="Times New Roman"/>
          <w:color w:val="000000"/>
          <w:sz w:val="22"/>
        </w:rPr>
        <w:t>B.The Borrower has requested that the Administrative Agent and the Lenders (i) amend certain provisions of the Credit Agreement; and (ii) waive the Existing Default (as defined below), and the Lenders and the Administrative Agent have agreed to do so, in each case upon the terms and subject to the conditions set forth in this Amendment.</w:t>
      </w:r>
      <w:r>
        <w:rPr>
          <w:rFonts w:ascii="Times New Roman" w:hAnsi="Times New Roman"/>
          <w:sz w:val="22"/>
        </w:rPr>
        <w:t xml:space="preserve"> </w:t>
      </w:r>
    </w:p>
    <w:p>
      <w:pPr>
        <w:pStyle w:val="TextBody"/>
        <w:bidi w:val="0"/>
        <w:spacing w:before="0" w:after="240"/>
        <w:ind w:left="1440" w:right="1440" w:hanging="0"/>
        <w:jc w:val="center"/>
        <w:rPr>
          <w:rFonts w:ascii="Times New Roman" w:hAnsi="Times New Roman"/>
          <w:b/>
          <w:sz w:val="22"/>
        </w:rPr>
      </w:pPr>
      <w:r>
        <w:rPr>
          <w:rFonts w:ascii="Times New Roman" w:hAnsi="Times New Roman"/>
          <w:b w:val="false"/>
          <w:color w:val="000000"/>
          <w:sz w:val="22"/>
        </w:rPr>
        <w:t>AGREEMENTS:</w:t>
      </w:r>
      <w:r>
        <w:rPr>
          <w:rFonts w:ascii="Times New Roman" w:hAnsi="Times New Roman"/>
          <w:b/>
          <w:sz w:val="22"/>
        </w:rPr>
        <w:t xml:space="preserve"> </w:t>
      </w:r>
    </w:p>
    <w:p>
      <w:pPr>
        <w:pStyle w:val="TextBody"/>
        <w:bidi w:val="0"/>
        <w:spacing w:before="0" w:after="240"/>
        <w:ind w:left="1440" w:right="1440" w:firstLine="1440"/>
        <w:jc w:val="both"/>
        <w:rPr>
          <w:rFonts w:ascii="Times New Roman" w:hAnsi="Times New Roman"/>
          <w:sz w:val="22"/>
        </w:rPr>
      </w:pPr>
      <w:r>
        <w:rPr>
          <w:rFonts w:ascii="Times New Roman" w:hAnsi="Times New Roman"/>
          <w:color w:val="000000"/>
          <w:sz w:val="22"/>
        </w:rPr>
        <w:t>NOW, THEREFORE, in consideration of the mutual covenants and agreements hereinafter set forth, and for other good and valuable consideration, the nature, receipt and sufficiency of which are hereby acknowledged, the parties hereto hereby agree as follows:</w:t>
      </w:r>
      <w:r>
        <w:rPr>
          <w:rFonts w:ascii="Times New Roman" w:hAnsi="Times New Roman"/>
          <w:sz w:val="22"/>
        </w:rPr>
        <w:t xml:space="preserve"> </w:t>
      </w:r>
    </w:p>
    <w:p>
      <w:pPr>
        <w:pStyle w:val="TextBody"/>
        <w:pBdr/>
        <w:bidi w:val="0"/>
        <w:spacing w:before="0" w:after="240"/>
        <w:ind w:left="1440" w:right="1440" w:hanging="0"/>
        <w:jc w:val="left"/>
        <w:rPr>
          <w:rFonts w:ascii="Times New Roman" w:hAnsi="Times New Roman"/>
          <w:sz w:val="22"/>
        </w:rPr>
      </w:pPr>
      <w:r>
        <w:rPr>
          <w:rFonts w:ascii="Times New Roman" w:hAnsi="Times New Roman"/>
          <w:color w:val="000000"/>
          <w:sz w:val="22"/>
        </w:rPr>
        <w:t>Section 1.</w:t>
      </w:r>
      <w:r>
        <w:rPr>
          <w:rFonts w:ascii="Times New Roman" w:hAnsi="Times New Roman"/>
          <w:color w:val="000000"/>
          <w:sz w:val="22"/>
          <w:u w:val="single"/>
        </w:rPr>
        <w:t>Recitals</w:t>
      </w:r>
      <w:r>
        <w:rPr>
          <w:rFonts w:ascii="Times New Roman" w:hAnsi="Times New Roman"/>
          <w:color w:val="000000"/>
          <w:sz w:val="22"/>
        </w:rPr>
        <w:t>. The Recitals of this Amendment are incorporated into this Amendment as if fully set forth herein.</w:t>
      </w:r>
      <w:r>
        <w:rPr>
          <w:rFonts w:ascii="Times New Roman" w:hAnsi="Times New Roman"/>
          <w:sz w:val="22"/>
        </w:rPr>
        <w:t xml:space="preserve"> </w:t>
      </w:r>
    </w:p>
    <w:p>
      <w:pPr>
        <w:pStyle w:val="TextBody"/>
        <w:pBdr/>
        <w:bidi w:val="0"/>
        <w:spacing w:before="0" w:after="240"/>
        <w:ind w:left="1440" w:right="1440" w:hanging="0"/>
        <w:jc w:val="left"/>
        <w:rPr>
          <w:rFonts w:ascii="Times New Roman" w:hAnsi="Times New Roman"/>
          <w:sz w:val="22"/>
        </w:rPr>
      </w:pPr>
      <w:r>
        <w:rPr>
          <w:rFonts w:ascii="Times New Roman" w:hAnsi="Times New Roman"/>
          <w:color w:val="000000"/>
          <w:sz w:val="22"/>
        </w:rPr>
        <w:t>Section 2.</w:t>
      </w:r>
      <w:r>
        <w:rPr>
          <w:rFonts w:ascii="Times New Roman" w:hAnsi="Times New Roman"/>
          <w:color w:val="000000"/>
          <w:sz w:val="22"/>
          <w:u w:val="single"/>
        </w:rPr>
        <w:t>Delivery of Documents</w:t>
      </w:r>
      <w:r>
        <w:rPr>
          <w:rFonts w:ascii="Times New Roman" w:hAnsi="Times New Roman"/>
          <w:color w:val="000000"/>
          <w:sz w:val="22"/>
        </w:rPr>
        <w:t>.  At or prior to the execution of this Amendment, and as a condition precedent to the effectiveness of this Amendment, the Borrower shall have satisfied the following conditions and delivered or caused to be delivered to the Administrative Agent the following documents each dated such date and in form and substance satisfactory to the Administrative Agent and duly executed by all appropriate parties:</w:t>
      </w:r>
      <w:r>
        <w:rPr>
          <w:rFonts w:ascii="Times New Roman" w:hAnsi="Times New Roman"/>
          <w:sz w:val="22"/>
        </w:rPr>
        <w:t xml:space="preserve"> </w:t>
      </w:r>
    </w:p>
    <w:p>
      <w:pPr>
        <w:pStyle w:val="TextBody"/>
        <w:pBdr/>
        <w:bidi w:val="0"/>
        <w:spacing w:before="0" w:after="240"/>
        <w:ind w:left="2160" w:right="1440" w:hanging="0"/>
        <w:jc w:val="left"/>
        <w:rPr>
          <w:rFonts w:ascii="Times New Roman" w:hAnsi="Times New Roman"/>
          <w:sz w:val="22"/>
        </w:rPr>
      </w:pPr>
      <w:r>
        <w:rPr>
          <w:rFonts w:ascii="Times New Roman" w:hAnsi="Times New Roman"/>
          <w:color w:val="000000"/>
          <w:sz w:val="22"/>
        </w:rPr>
        <w:t>(a)This Amendment.</w:t>
      </w:r>
      <w:r>
        <w:rPr>
          <w:rFonts w:ascii="Times New Roman" w:hAnsi="Times New Roman"/>
          <w:sz w:val="22"/>
        </w:rPr>
        <w:t xml:space="preserve"> </w:t>
      </w:r>
    </w:p>
    <w:p>
      <w:pPr>
        <w:pStyle w:val="TextBody"/>
        <w:pBdr/>
        <w:bidi w:val="0"/>
        <w:spacing w:before="0" w:after="240"/>
        <w:ind w:left="2160" w:right="1440" w:hanging="0"/>
        <w:jc w:val="left"/>
        <w:rPr>
          <w:rFonts w:ascii="Times New Roman" w:hAnsi="Times New Roman"/>
          <w:sz w:val="22"/>
        </w:rPr>
      </w:pPr>
      <w:r>
        <w:rPr>
          <w:rFonts w:ascii="Times New Roman" w:hAnsi="Times New Roman"/>
          <w:color w:val="000000"/>
          <w:sz w:val="22"/>
        </w:rPr>
        <w:t>(b)Such other documents or instruments as the Administrative Agent may reasonably require.</w:t>
      </w:r>
      <w:r>
        <w:rPr>
          <w:rFonts w:ascii="Times New Roman" w:hAnsi="Times New Roman"/>
          <w:sz w:val="22"/>
        </w:rPr>
        <w:t xml:space="preserve"> </w:t>
      </w:r>
    </w:p>
    <w:p>
      <w:pPr>
        <w:pStyle w:val="TextBody"/>
        <w:bidi w:val="0"/>
        <w:spacing w:before="0" w:after="240"/>
        <w:ind w:left="1440" w:right="1440" w:hanging="0"/>
        <w:jc w:val="left"/>
        <w:rPr>
          <w:rFonts w:ascii="Times New Roman" w:hAnsi="Times New Roman"/>
          <w:sz w:val="22"/>
        </w:rPr>
      </w:pPr>
      <w:r>
        <w:rPr>
          <w:rFonts w:ascii="Times New Roman" w:hAnsi="Times New Roman"/>
          <w:color w:val="000000"/>
          <w:sz w:val="22"/>
        </w:rPr>
        <w:t>Section 3.</w:t>
      </w:r>
      <w:r>
        <w:rPr>
          <w:rFonts w:ascii="Times New Roman" w:hAnsi="Times New Roman"/>
          <w:color w:val="000000"/>
          <w:sz w:val="22"/>
          <w:u w:val="single"/>
        </w:rPr>
        <w:t>Waiver</w:t>
      </w:r>
      <w:r>
        <w:rPr>
          <w:rFonts w:ascii="Times New Roman" w:hAnsi="Times New Roman"/>
          <w:color w:val="000000"/>
          <w:sz w:val="22"/>
        </w:rPr>
        <w:t>.</w:t>
      </w:r>
      <w:r>
        <w:rPr>
          <w:rFonts w:ascii="Times New Roman" w:hAnsi="Times New Roman"/>
          <w:sz w:val="22"/>
        </w:rPr>
        <w:t xml:space="preserve"> </w:t>
      </w:r>
    </w:p>
    <w:p>
      <w:pPr>
        <w:pStyle w:val="TextBody"/>
        <w:pBdr/>
        <w:bidi w:val="0"/>
        <w:spacing w:before="0" w:after="240"/>
        <w:ind w:left="2160" w:right="1440" w:hanging="0"/>
        <w:jc w:val="left"/>
        <w:rPr>
          <w:rFonts w:ascii="Times New Roman" w:hAnsi="Times New Roman"/>
          <w:sz w:val="24"/>
        </w:rPr>
      </w:pPr>
      <w:r>
        <w:rPr>
          <w:rFonts w:ascii="Times New Roman" w:hAnsi="Times New Roman"/>
          <w:color w:val="000000"/>
          <w:sz w:val="24"/>
        </w:rPr>
        <w:t xml:space="preserve">(a)Pursuant to </w:t>
      </w:r>
      <w:r>
        <w:rPr>
          <w:rFonts w:ascii="Times New Roman" w:hAnsi="Times New Roman"/>
          <w:color w:val="000000"/>
          <w:sz w:val="24"/>
          <w:u w:val="single"/>
        </w:rPr>
        <w:t>Section 6.08</w:t>
      </w:r>
      <w:r>
        <w:rPr>
          <w:rFonts w:ascii="Times New Roman" w:hAnsi="Times New Roman"/>
          <w:color w:val="000000"/>
          <w:sz w:val="24"/>
        </w:rPr>
        <w:t xml:space="preserve"> of the Credit Agreement, the Loan Parties and their Subsidiaries are prohibited from declaring or making, or agreeing to declare or make, directly or indirectly, any Restricted Payment, or incurring any obligation (contingent or otherwise) to do so, except as specifically set forth in such Section.  The Loan Parties made Restricted Payments in an aggregate amount not exceeding $32,200,000 between December 16, 2025 and January 7, 2026. The Loan Parties acknowledge that such Restricted Payments did not qualify for any of the exceptions to </w:t>
      </w:r>
      <w:r>
        <w:rPr>
          <w:rFonts w:ascii="Times New Roman" w:hAnsi="Times New Roman"/>
          <w:color w:val="000000"/>
          <w:sz w:val="24"/>
          <w:u w:val="single"/>
        </w:rPr>
        <w:t>Section 6.08</w:t>
      </w:r>
      <w:r>
        <w:rPr>
          <w:rFonts w:ascii="Times New Roman" w:hAnsi="Times New Roman"/>
          <w:color w:val="000000"/>
          <w:sz w:val="24"/>
        </w:rPr>
        <w:t xml:space="preserve"> of the Credit Agreement, resulting in noncompliance with the Credit Agreement (the “</w:t>
      </w:r>
      <w:r>
        <w:rPr>
          <w:rFonts w:ascii="Times New Roman" w:hAnsi="Times New Roman"/>
          <w:color w:val="000000"/>
          <w:sz w:val="24"/>
          <w:u w:val="single"/>
        </w:rPr>
        <w:t>Violation</w:t>
      </w:r>
      <w:r>
        <w:rPr>
          <w:rFonts w:ascii="Times New Roman" w:hAnsi="Times New Roman"/>
          <w:color w:val="000000"/>
          <w:sz w:val="24"/>
        </w:rPr>
        <w:t>”).  </w:t>
      </w:r>
      <w:r>
        <w:rPr>
          <w:rFonts w:ascii="Times New Roman" w:hAnsi="Times New Roman"/>
          <w:sz w:val="24"/>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pBdr/>
        <w:bidi w:val="0"/>
        <w:spacing w:before="0" w:after="240"/>
        <w:ind w:left="2160" w:right="1440" w:hanging="0"/>
        <w:jc w:val="left"/>
        <w:rPr>
          <w:rFonts w:ascii="Times New Roman" w:hAnsi="Times New Roman"/>
          <w:sz w:val="22"/>
        </w:rPr>
      </w:pPr>
      <w:r>
        <w:rPr>
          <w:rFonts w:ascii="Times New Roman" w:hAnsi="Times New Roman"/>
          <w:color w:val="000000"/>
          <w:sz w:val="22"/>
        </w:rPr>
        <w:t>(b)The Loan Parties have requested that the Administrative Agent and the Lenders waive the Defaults and Events of Default that exist solely by virtue of the Violation (collectively, the “Existing Default”).    Upon the effectiveness of this Amendment, the Administrative Agent and the Lenders hereby waive the Existing Default.  All provisions of the Loan Documents remain in full force and effect and the foregoing waiver shall not apply to any other or subsequent failure to comply with the Sections identified above or any other provision of the Loan Documents.</w:t>
      </w:r>
      <w:r>
        <w:rPr>
          <w:rFonts w:ascii="Times New Roman" w:hAnsi="Times New Roman"/>
          <w:sz w:val="22"/>
        </w:rPr>
        <w:t xml:space="preserve"> </w:t>
      </w:r>
    </w:p>
    <w:p>
      <w:pPr>
        <w:pStyle w:val="TextBody"/>
        <w:bidi w:val="0"/>
        <w:spacing w:before="0" w:after="240"/>
        <w:ind w:left="1440" w:right="1440" w:hanging="0"/>
        <w:jc w:val="left"/>
        <w:rPr>
          <w:rFonts w:ascii="Times New Roman" w:hAnsi="Times New Roman"/>
          <w:sz w:val="22"/>
        </w:rPr>
      </w:pPr>
      <w:r>
        <w:rPr>
          <w:rFonts w:ascii="Times New Roman" w:hAnsi="Times New Roman"/>
          <w:color w:val="000000"/>
          <w:sz w:val="22"/>
        </w:rPr>
        <w:t>Section 4.</w:t>
      </w:r>
      <w:r>
        <w:rPr>
          <w:rFonts w:ascii="Times New Roman" w:hAnsi="Times New Roman"/>
          <w:color w:val="000000"/>
          <w:sz w:val="22"/>
          <w:u w:val="single"/>
        </w:rPr>
        <w:t>Amendments</w:t>
      </w:r>
      <w:r>
        <w:rPr>
          <w:rFonts w:ascii="Times New Roman" w:hAnsi="Times New Roman"/>
          <w:color w:val="000000"/>
          <w:sz w:val="22"/>
        </w:rPr>
        <w:t>.  </w:t>
      </w:r>
      <w:r>
        <w:rPr>
          <w:rFonts w:ascii="Times New Roman" w:hAnsi="Times New Roman"/>
          <w:sz w:val="22"/>
        </w:rPr>
        <w:t xml:space="preserve"> </w:t>
      </w:r>
    </w:p>
    <w:p>
      <w:pPr>
        <w:pStyle w:val="TextBody"/>
        <w:bidi w:val="0"/>
        <w:spacing w:before="0" w:after="240"/>
        <w:ind w:left="2160" w:right="1440" w:hanging="0"/>
        <w:jc w:val="left"/>
        <w:rPr>
          <w:rFonts w:ascii="Times New Roman" w:hAnsi="Times New Roman"/>
          <w:sz w:val="22"/>
        </w:rPr>
      </w:pPr>
      <w:bookmarkStart w:id="120" w:name="_Hlk202953228"/>
      <w:bookmarkEnd w:id="120"/>
      <w:r>
        <w:rPr>
          <w:rFonts w:ascii="Times New Roman" w:hAnsi="Times New Roman"/>
          <w:color w:val="000000"/>
          <w:sz w:val="22"/>
        </w:rPr>
        <w:t>(a)</w:t>
      </w:r>
      <w:r>
        <w:rPr>
          <w:rFonts w:ascii="Times New Roman" w:hAnsi="Times New Roman"/>
          <w:color w:val="000000"/>
          <w:sz w:val="22"/>
          <w:u w:val="single"/>
        </w:rPr>
        <w:t>Defined Term</w:t>
      </w:r>
      <w:r>
        <w:rPr>
          <w:rFonts w:ascii="Times New Roman" w:hAnsi="Times New Roman"/>
          <w:color w:val="000000"/>
          <w:sz w:val="22"/>
        </w:rPr>
        <w:t>.  The defined term “</w:t>
      </w:r>
      <w:r>
        <w:rPr>
          <w:rFonts w:ascii="Times New Roman" w:hAnsi="Times New Roman"/>
          <w:color w:val="000000"/>
          <w:sz w:val="22"/>
          <w:u w:val="single"/>
        </w:rPr>
        <w:t>Fixed Charge Coverage Ratio</w:t>
      </w:r>
      <w:r>
        <w:rPr>
          <w:rFonts w:ascii="Times New Roman" w:hAnsi="Times New Roman"/>
          <w:color w:val="000000"/>
          <w:sz w:val="22"/>
        </w:rPr>
        <w:t xml:space="preserve">” set forth in </w:t>
      </w:r>
      <w:r>
        <w:rPr>
          <w:rFonts w:ascii="Times New Roman" w:hAnsi="Times New Roman"/>
          <w:color w:val="000000"/>
          <w:sz w:val="22"/>
          <w:u w:val="single"/>
        </w:rPr>
        <w:t>Section 1.01</w:t>
      </w:r>
      <w:r>
        <w:rPr>
          <w:rFonts w:ascii="Times New Roman" w:hAnsi="Times New Roman"/>
          <w:color w:val="000000"/>
          <w:sz w:val="22"/>
        </w:rPr>
        <w:t xml:space="preserve"> of the Credit Agreement is hereby amended and restated in its entirety to read as follows:</w:t>
      </w:r>
      <w:r>
        <w:rPr>
          <w:rFonts w:ascii="Times New Roman" w:hAnsi="Times New Roman"/>
          <w:sz w:val="22"/>
        </w:rPr>
        <w:t xml:space="preserve"> </w:t>
      </w:r>
    </w:p>
    <w:p>
      <w:pPr>
        <w:pStyle w:val="TextBody"/>
        <w:bidi w:val="0"/>
        <w:spacing w:before="0" w:after="240"/>
        <w:ind w:left="2880" w:right="1440" w:firstLine="720"/>
        <w:jc w:val="both"/>
        <w:rPr/>
      </w:pPr>
      <w:r>
        <w:rPr>
          <w:color w:val="000000"/>
        </w:rPr>
        <w:t>“</w:t>
      </w:r>
      <w:r>
        <w:rPr>
          <w:rFonts w:ascii="Times New Roman" w:hAnsi="Times New Roman"/>
          <w:color w:val="000000"/>
          <w:sz w:val="22"/>
          <w:u w:val="single"/>
        </w:rPr>
        <w:t>Fixed Charge Coverage Ratio</w:t>
      </w:r>
      <w:r>
        <w:rPr>
          <w:rFonts w:ascii="Times New Roman" w:hAnsi="Times New Roman"/>
          <w:color w:val="000000"/>
          <w:sz w:val="22"/>
        </w:rPr>
        <w:t>” means, for any period, the ratio of (a) EBITDAR minus expense for taxes paid in cash, minus Restricted Payments (excluding the share repurchases by Holdings between December 16, 2025 and January 7, 2026,  in an aggregate amount not exceeding $32,200,000), to (b) Fixed Charges, all calculated for Holdings and its Subsidiaries on a consolidated basis in accordance with GAAP.</w:t>
      </w:r>
      <w:r>
        <w:rPr>
          <w:rFonts w:ascii="Times New Roman" w:hAnsi="Times New Roman"/>
          <w:sz w:val="22"/>
        </w:rPr>
        <w:t xml:space="preserve"> </w:t>
      </w:r>
    </w:p>
    <w:p>
      <w:pPr>
        <w:pStyle w:val="TextBody"/>
        <w:pBdr/>
        <w:bidi w:val="0"/>
        <w:spacing w:before="0" w:after="240"/>
        <w:ind w:left="2160" w:right="1440" w:hanging="0"/>
        <w:jc w:val="left"/>
        <w:rPr>
          <w:rFonts w:ascii="Times New Roman" w:hAnsi="Times New Roman"/>
          <w:sz w:val="22"/>
        </w:rPr>
      </w:pPr>
      <w:r>
        <w:rPr>
          <w:rFonts w:ascii="Times New Roman" w:hAnsi="Times New Roman"/>
          <w:color w:val="000000"/>
          <w:sz w:val="22"/>
        </w:rPr>
        <w:t>(b)</w:t>
      </w:r>
      <w:r>
        <w:rPr>
          <w:rFonts w:ascii="Times New Roman" w:hAnsi="Times New Roman"/>
          <w:color w:val="000000"/>
          <w:sz w:val="22"/>
          <w:u w:val="single"/>
        </w:rPr>
        <w:t>Deleted Defined Terms</w:t>
      </w:r>
      <w:r>
        <w:rPr>
          <w:rFonts w:ascii="Times New Roman" w:hAnsi="Times New Roman"/>
          <w:color w:val="000000"/>
          <w:sz w:val="22"/>
        </w:rPr>
        <w:t>.  The definition of “</w:t>
      </w:r>
      <w:r>
        <w:rPr>
          <w:rFonts w:ascii="Times New Roman" w:hAnsi="Times New Roman"/>
          <w:color w:val="000000"/>
          <w:sz w:val="22"/>
          <w:u w:val="single"/>
        </w:rPr>
        <w:t>Excluded Restricted Payments</w:t>
      </w:r>
      <w:r>
        <w:rPr>
          <w:rFonts w:ascii="Times New Roman" w:hAnsi="Times New Roman"/>
          <w:color w:val="000000"/>
          <w:sz w:val="22"/>
        </w:rPr>
        <w:t xml:space="preserve">” set forth in </w:t>
      </w:r>
      <w:r>
        <w:rPr>
          <w:rFonts w:ascii="Times New Roman" w:hAnsi="Times New Roman"/>
          <w:color w:val="000000"/>
          <w:sz w:val="22"/>
          <w:u w:val="single"/>
        </w:rPr>
        <w:t>Section 1.01</w:t>
      </w:r>
      <w:r>
        <w:rPr>
          <w:rFonts w:ascii="Times New Roman" w:hAnsi="Times New Roman"/>
          <w:color w:val="000000"/>
          <w:sz w:val="22"/>
        </w:rPr>
        <w:t xml:space="preserve"> of the Credit Agreement is hereby deleted in its entirety.</w:t>
      </w:r>
      <w:r>
        <w:rPr>
          <w:rFonts w:ascii="Times New Roman" w:hAnsi="Times New Roman"/>
          <w:sz w:val="22"/>
        </w:rPr>
        <w:t xml:space="preserve"> </w:t>
      </w:r>
    </w:p>
    <w:p>
      <w:pPr>
        <w:pStyle w:val="TextBody"/>
        <w:pBdr/>
        <w:bidi w:val="0"/>
        <w:spacing w:before="0" w:after="240"/>
        <w:ind w:left="2160" w:right="1440" w:hanging="0"/>
        <w:jc w:val="left"/>
        <w:rPr>
          <w:rFonts w:ascii="Times New Roman" w:hAnsi="Times New Roman"/>
          <w:sz w:val="22"/>
        </w:rPr>
      </w:pPr>
      <w:r>
        <w:rPr>
          <w:rFonts w:ascii="Times New Roman" w:hAnsi="Times New Roman"/>
          <w:color w:val="000000"/>
          <w:sz w:val="22"/>
        </w:rPr>
        <w:t>(c)</w:t>
      </w:r>
      <w:r>
        <w:rPr>
          <w:rFonts w:ascii="Times New Roman" w:hAnsi="Times New Roman"/>
          <w:color w:val="000000"/>
          <w:sz w:val="22"/>
          <w:u w:val="single"/>
        </w:rPr>
        <w:t>Capitalization and Subsidiaries</w:t>
      </w:r>
      <w:r>
        <w:rPr>
          <w:rFonts w:ascii="Times New Roman" w:hAnsi="Times New Roman"/>
          <w:color w:val="000000"/>
          <w:sz w:val="22"/>
        </w:rPr>
        <w:t>. The words “</w:t>
      </w:r>
      <w:r>
        <w:rPr>
          <w:rFonts w:ascii="Times New Roman" w:hAnsi="Times New Roman"/>
          <w:color w:val="000000"/>
          <w:sz w:val="22"/>
          <w:u w:val="single"/>
        </w:rPr>
        <w:t>Schedule 3.15</w:t>
      </w:r>
      <w:r>
        <w:rPr>
          <w:rFonts w:ascii="Times New Roman" w:hAnsi="Times New Roman"/>
          <w:color w:val="000000"/>
          <w:sz w:val="22"/>
        </w:rPr>
        <w:t xml:space="preserve"> sets forth” set forth in </w:t>
      </w:r>
      <w:r>
        <w:rPr>
          <w:rFonts w:ascii="Times New Roman" w:hAnsi="Times New Roman"/>
          <w:color w:val="000000"/>
          <w:sz w:val="22"/>
          <w:u w:val="single"/>
        </w:rPr>
        <w:t>Section 3.15</w:t>
      </w:r>
      <w:r>
        <w:rPr>
          <w:rFonts w:ascii="Times New Roman" w:hAnsi="Times New Roman"/>
          <w:color w:val="000000"/>
          <w:sz w:val="22"/>
        </w:rPr>
        <w:t xml:space="preserve"> of the Credit Agreement are hereby deleted and replaced with the words “</w:t>
      </w:r>
      <w:r>
        <w:rPr>
          <w:rFonts w:ascii="Times New Roman" w:hAnsi="Times New Roman"/>
          <w:color w:val="000000"/>
          <w:sz w:val="22"/>
          <w:u w:val="single"/>
        </w:rPr>
        <w:t>Schedule 3.15</w:t>
      </w:r>
      <w:r>
        <w:rPr>
          <w:rFonts w:ascii="Times New Roman" w:hAnsi="Times New Roman"/>
          <w:color w:val="000000"/>
          <w:sz w:val="22"/>
        </w:rPr>
        <w:t xml:space="preserve"> sets forth, as of the Effective Date”. </w:t>
      </w:r>
      <w:r>
        <w:rPr>
          <w:rFonts w:ascii="Times New Roman" w:hAnsi="Times New Roman"/>
          <w:sz w:val="22"/>
        </w:rPr>
        <w:t xml:space="preserve"> </w:t>
      </w:r>
    </w:p>
    <w:p>
      <w:pPr>
        <w:pStyle w:val="TextBody"/>
        <w:pBdr/>
        <w:bidi w:val="0"/>
        <w:spacing w:before="0" w:after="240"/>
        <w:ind w:left="2160" w:right="1440" w:hanging="0"/>
        <w:jc w:val="left"/>
        <w:rPr>
          <w:rFonts w:ascii="Times New Roman" w:hAnsi="Times New Roman"/>
          <w:sz w:val="22"/>
        </w:rPr>
      </w:pPr>
      <w:r>
        <w:rPr>
          <w:rFonts w:ascii="Times New Roman" w:hAnsi="Times New Roman"/>
          <w:color w:val="000000"/>
          <w:sz w:val="22"/>
        </w:rPr>
        <w:t>(d)</w:t>
      </w:r>
      <w:r>
        <w:rPr>
          <w:rFonts w:ascii="Times New Roman" w:hAnsi="Times New Roman"/>
          <w:color w:val="000000"/>
          <w:sz w:val="22"/>
          <w:u w:val="single"/>
        </w:rPr>
        <w:t>Financial Statements; Other Information</w:t>
      </w:r>
      <w:r>
        <w:rPr>
          <w:rFonts w:ascii="Times New Roman" w:hAnsi="Times New Roman"/>
          <w:color w:val="000000"/>
          <w:sz w:val="22"/>
        </w:rPr>
        <w:t xml:space="preserve">. The paragraph immediately following </w:t>
      </w:r>
      <w:r>
        <w:rPr>
          <w:rFonts w:ascii="Times New Roman" w:hAnsi="Times New Roman"/>
          <w:color w:val="000000"/>
          <w:sz w:val="22"/>
          <w:u w:val="single"/>
        </w:rPr>
        <w:t>Section 5.01(l)</w:t>
      </w:r>
      <w:r>
        <w:rPr>
          <w:rFonts w:ascii="Times New Roman" w:hAnsi="Times New Roman"/>
          <w:color w:val="000000"/>
          <w:sz w:val="22"/>
        </w:rPr>
        <w:t xml:space="preserve"> of the Credit Agreement and immediately preceding </w:t>
      </w:r>
      <w:r>
        <w:rPr>
          <w:rFonts w:ascii="Times New Roman" w:hAnsi="Times New Roman"/>
          <w:color w:val="000000"/>
          <w:sz w:val="22"/>
          <w:u w:val="single"/>
        </w:rPr>
        <w:t>Section 5.02</w:t>
      </w:r>
      <w:r>
        <w:rPr>
          <w:rFonts w:ascii="Times New Roman" w:hAnsi="Times New Roman"/>
          <w:color w:val="000000"/>
          <w:sz w:val="22"/>
        </w:rPr>
        <w:t xml:space="preserve"> of the Credit Agreement that begins with the words “Documents required to be delivered”, and ending with “maintaining its copies of such documents”, is hereby deleted in its entirety.</w:t>
      </w:r>
      <w:r>
        <w:rPr>
          <w:rFonts w:ascii="Times New Roman" w:hAnsi="Times New Roman"/>
          <w:sz w:val="22"/>
        </w:rPr>
        <w:t xml:space="preserve"> </w:t>
      </w:r>
    </w:p>
    <w:p>
      <w:pPr>
        <w:pStyle w:val="TextBody"/>
        <w:pBdr/>
        <w:bidi w:val="0"/>
        <w:spacing w:before="0" w:after="240"/>
        <w:ind w:left="1440" w:right="1440" w:hanging="0"/>
        <w:jc w:val="left"/>
        <w:rPr>
          <w:rFonts w:ascii="Times New Roman" w:hAnsi="Times New Roman"/>
          <w:sz w:val="22"/>
        </w:rPr>
      </w:pPr>
      <w:r>
        <w:rPr>
          <w:rFonts w:ascii="Times New Roman" w:hAnsi="Times New Roman"/>
          <w:color w:val="000000"/>
          <w:sz w:val="22"/>
        </w:rPr>
        <w:t>Section 5.</w:t>
      </w:r>
      <w:r>
        <w:rPr>
          <w:rFonts w:ascii="Times New Roman" w:hAnsi="Times New Roman"/>
          <w:color w:val="000000"/>
          <w:sz w:val="22"/>
          <w:u w:val="single"/>
        </w:rPr>
        <w:t>Representations; No Default</w:t>
      </w:r>
      <w:r>
        <w:rPr>
          <w:rFonts w:ascii="Times New Roman" w:hAnsi="Times New Roman"/>
          <w:color w:val="000000"/>
          <w:sz w:val="22"/>
        </w:rPr>
        <w:t xml:space="preserve">.  </w:t>
      </w:r>
      <w:bookmarkStart w:id="121" w:name="OLE_LINK1"/>
      <w:bookmarkEnd w:id="121"/>
      <w:r>
        <w:rPr>
          <w:rFonts w:ascii="Times New Roman" w:hAnsi="Times New Roman"/>
          <w:color w:val="000000"/>
          <w:sz w:val="22"/>
        </w:rPr>
        <w:t xml:space="preserve">The Loan Parties represent and warrant that: (a) the representations and warranties of the Loan Parties contained in </w:t>
      </w:r>
      <w:r>
        <w:rPr>
          <w:rFonts w:ascii="Times New Roman" w:hAnsi="Times New Roman"/>
          <w:color w:val="000000"/>
          <w:sz w:val="22"/>
          <w:u w:val="single"/>
        </w:rPr>
        <w:t>ARTICLE III</w:t>
      </w:r>
      <w:r>
        <w:rPr>
          <w:rFonts w:ascii="Times New Roman" w:hAnsi="Times New Roman"/>
          <w:color w:val="000000"/>
          <w:sz w:val="22"/>
        </w:rPr>
        <w:t xml:space="preserve"> of the Credit Agreement are true and correct on and as of the date hereof, except to the extent that such representations and warranties specifically refer to an earlier date, in which case they shall be true and correct as of such earlier date, (b) each Loan Party has the power and legal right and authority to enter into this Amendment and has duly authorized the execution and delivery of this Amendment and other agreements and documents executed and delivered by the Loan Parties in connection herewith, (c) neither this Amendment nor the agreements contained herein contravene or constitute a Default or Event of Default under the Credit Agreement or a default, in any material respect, under any other agreement, instrument or indenture to which any Loan Party is a party or a signatory, or any provision of each Loan Party’s  organizational documents or, to the best of each Loan Party’s knowledge, any other applicable Requirement of Law, or result in the imposition of any Lien on any of its property under any agreement binding on or applicable to each Loan Party or any of its property except, if any, in favor of Administrative Agent, (d) no consent, approval or authorization of or registration or declaration with any party, including but not limited to any Governmental Authority, is required in connection with the execution and delivery by the Loan Parties of this Amendment or other agreements and documents executed and delivered by the Loan Parties in connection herewith or the performance of obligations of the Loan Parties herein described, except for those which the Loan Parties have obtained or provided and as to which the Loan Parties have delivered certified copies of documents evidencing each such action to the Lenders, (e) to each Loan Party’s knowledge as of the date hereof,  no events have taken place and no circumstances exist at the date hereof which would give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- 2 -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pBdr/>
        <w:bidi w:val="0"/>
        <w:spacing w:before="0" w:after="240"/>
        <w:ind w:left="1440" w:right="1440" w:hanging="0"/>
        <w:jc w:val="both"/>
        <w:rPr>
          <w:rFonts w:ascii="Times New Roman" w:hAnsi="Times New Roman"/>
          <w:color w:val="000000"/>
          <w:sz w:val="22"/>
        </w:rPr>
      </w:pPr>
      <w:r>
        <w:rPr>
          <w:rFonts w:ascii="Times New Roman" w:hAnsi="Times New Roman"/>
          <w:color w:val="000000"/>
          <w:sz w:val="22"/>
        </w:rPr>
        <w:t>any Loan Party grounds to assert a defense, offset or counterclaim to the obligations of the Loan Parties under the Credit Agreement or any of the other Loan Documents, (f) there are no known claims, causes of action, suits, debts, Liens, obligations, liabilities, demands, losses, costs and expenses (including attorneys’ fees) of any kind, character or nature whatsoever, fixed or contingent, which any Loan Party may have or claim to have against the Administrative Agent or any of the Lenders, which might arise out of or be connected with any act of commission or omission of the Administrative Agent or any Lender existing or occurring on or prior to the date of this Amendment, including, without limitation, any claims, liabilities or obligations arising with respect to the Obligations, and (g) except as otherwise expressly provided herein, no Default or Event of Default has occurred and is continuing under the Credit Agreement.</w:t>
      </w:r>
    </w:p>
    <w:p>
      <w:pPr>
        <w:pStyle w:val="TextBody"/>
        <w:pBdr/>
        <w:bidi w:val="0"/>
        <w:spacing w:before="0" w:after="240"/>
        <w:ind w:left="1440" w:right="1440" w:hanging="0"/>
        <w:jc w:val="left"/>
        <w:rPr>
          <w:rFonts w:ascii="Times New Roman" w:hAnsi="Times New Roman"/>
          <w:sz w:val="22"/>
        </w:rPr>
      </w:pPr>
      <w:r>
        <w:rPr>
          <w:rFonts w:ascii="Times New Roman" w:hAnsi="Times New Roman"/>
          <w:color w:val="000000"/>
          <w:sz w:val="22"/>
        </w:rPr>
        <w:t>Section 6.</w:t>
      </w:r>
      <w:r>
        <w:rPr>
          <w:rFonts w:ascii="Times New Roman" w:hAnsi="Times New Roman"/>
          <w:color w:val="000000"/>
          <w:sz w:val="22"/>
          <w:u w:val="single"/>
        </w:rPr>
        <w:t>Affirmation, Further References</w:t>
      </w:r>
      <w:r>
        <w:rPr>
          <w:rFonts w:ascii="Times New Roman" w:hAnsi="Times New Roman"/>
          <w:color w:val="000000"/>
          <w:sz w:val="22"/>
        </w:rPr>
        <w:t>.  The Administrative Agent, each Lender and each Loan Party acknowledge and affirm that the Credit Agreement, as hereby amended, is hereby ratified and confirmed in all respects and all terms, conditions and provisions of the Credit Agreement (except as amended by this Amendment) and of each of the other Loan Documents shall remain unmodified and in full force and effect. All references in any document or instrument to the Credit Agreement are hereby deemed to refer to the Credit Agreement as amended by this Amendment.</w:t>
      </w:r>
      <w:r>
        <w:rPr>
          <w:rFonts w:ascii="Times New Roman" w:hAnsi="Times New Roman"/>
          <w:sz w:val="22"/>
        </w:rPr>
        <w:t xml:space="preserve"> </w:t>
      </w:r>
    </w:p>
    <w:p>
      <w:pPr>
        <w:pStyle w:val="TextBody"/>
        <w:pBdr/>
        <w:bidi w:val="0"/>
        <w:spacing w:before="0" w:after="240"/>
        <w:ind w:left="1440" w:right="1440" w:hanging="0"/>
        <w:jc w:val="left"/>
        <w:rPr>
          <w:rFonts w:ascii="Times New Roman" w:hAnsi="Times New Roman"/>
          <w:sz w:val="22"/>
        </w:rPr>
      </w:pPr>
      <w:r>
        <w:rPr>
          <w:rFonts w:ascii="Times New Roman" w:hAnsi="Times New Roman"/>
          <w:color w:val="000000"/>
          <w:sz w:val="22"/>
        </w:rPr>
        <w:t>Section 7.</w:t>
      </w:r>
      <w:r>
        <w:rPr>
          <w:rFonts w:ascii="Times New Roman" w:hAnsi="Times New Roman"/>
          <w:color w:val="000000"/>
          <w:sz w:val="22"/>
          <w:u w:val="single"/>
        </w:rPr>
        <w:t>Severability</w:t>
      </w:r>
      <w:r>
        <w:rPr>
          <w:rFonts w:ascii="Times New Roman" w:hAnsi="Times New Roman"/>
          <w:color w:val="000000"/>
          <w:sz w:val="22"/>
        </w:rPr>
        <w:t>.  Whenever possible, each provision of this Amendment and any other statement, instrument or transaction contemplated hereby or thereby or relating hereto or thereto shall be interpreted in such manner as to be effective, valid and enforceable under applicable law of any jurisdiction, but, if any provision of this Amendment or any other statement, instrument or transaction contemplated hereby or thereby or relating hereto or thereto shall be held to be prohibited, invalid or unenforceable under applicable law, such provision shall be ineffective in such jurisdiction only to the extent of such prohibition, invalidity or unenforceability, without invalidating or rendering unenforceable the remainder of such provision or the remaining provisions of this Amendment or any other statement, instrument or transaction contemplated hereby or thereby or relating hereto or thereto in such jurisdiction, or affecting the effectiveness, validity or enforceability of such provision in any other jurisdiction.</w:t>
      </w:r>
      <w:r>
        <w:rPr>
          <w:rFonts w:ascii="Times New Roman" w:hAnsi="Times New Roman"/>
          <w:sz w:val="22"/>
        </w:rPr>
        <w:t xml:space="preserve"> </w:t>
      </w:r>
    </w:p>
    <w:p>
      <w:pPr>
        <w:pStyle w:val="TextBody"/>
        <w:pBdr/>
        <w:bidi w:val="0"/>
        <w:spacing w:before="0" w:after="240"/>
        <w:ind w:left="1440" w:right="1440" w:hanging="0"/>
        <w:jc w:val="left"/>
        <w:rPr>
          <w:rFonts w:ascii="Times New Roman" w:hAnsi="Times New Roman"/>
          <w:sz w:val="22"/>
        </w:rPr>
      </w:pPr>
      <w:r>
        <w:rPr>
          <w:rFonts w:ascii="Times New Roman" w:hAnsi="Times New Roman"/>
          <w:color w:val="000000"/>
          <w:sz w:val="22"/>
        </w:rPr>
        <w:t>Section 8.</w:t>
      </w:r>
      <w:r>
        <w:rPr>
          <w:rFonts w:ascii="Times New Roman" w:hAnsi="Times New Roman"/>
          <w:color w:val="000000"/>
          <w:sz w:val="22"/>
          <w:u w:val="single"/>
        </w:rPr>
        <w:t>Successors</w:t>
      </w:r>
      <w:r>
        <w:rPr>
          <w:rFonts w:ascii="Times New Roman" w:hAnsi="Times New Roman"/>
          <w:color w:val="000000"/>
          <w:sz w:val="22"/>
        </w:rPr>
        <w:t>.  This Amendment shall be binding upon the Loan Parties, the Lenders, the Administrative Agent and their respective successors and assigns, and shall inure to the benefit of the Loan Parties, the Lenders, the Administrative Agent, and to the respective successors and assigns of the Lenders and the Administrative Agent.</w:t>
      </w:r>
      <w:r>
        <w:rPr>
          <w:rFonts w:ascii="Times New Roman" w:hAnsi="Times New Roman"/>
          <w:sz w:val="22"/>
        </w:rPr>
        <w:t xml:space="preserve"> </w:t>
      </w:r>
    </w:p>
    <w:p>
      <w:pPr>
        <w:pStyle w:val="TextBody"/>
        <w:pBdr/>
        <w:bidi w:val="0"/>
        <w:spacing w:before="0" w:after="240"/>
        <w:ind w:left="1440" w:right="1440" w:hanging="0"/>
        <w:jc w:val="left"/>
        <w:rPr>
          <w:rFonts w:ascii="Times New Roman" w:hAnsi="Times New Roman"/>
          <w:sz w:val="22"/>
        </w:rPr>
      </w:pPr>
      <w:r>
        <w:rPr>
          <w:rFonts w:ascii="Times New Roman" w:hAnsi="Times New Roman"/>
          <w:color w:val="000000"/>
          <w:sz w:val="22"/>
        </w:rPr>
        <w:t>Section 9.</w:t>
      </w:r>
      <w:r>
        <w:rPr>
          <w:rFonts w:ascii="Times New Roman" w:hAnsi="Times New Roman"/>
          <w:color w:val="000000"/>
          <w:sz w:val="22"/>
          <w:u w:val="single"/>
        </w:rPr>
        <w:t>Costs and Expenses</w:t>
      </w:r>
      <w:r>
        <w:rPr>
          <w:rFonts w:ascii="Times New Roman" w:hAnsi="Times New Roman"/>
          <w:color w:val="000000"/>
          <w:sz w:val="22"/>
        </w:rPr>
        <w:t xml:space="preserve">.  Loan Parties jointly and severally agree to reimburse the Administrative Agent, upon execution of this Amendment, for all reasonable out-of-pocket expenses (including attorneys’ fees and legal expenses of counsel for the Administrative Agent) incurred in connection with the Credit Agreement, including in connection with the negotiation, preparation and execution of this Amendment and all other documents negotiated, prepared and executed in connection with this Amendment, and in enforcing the obligations of the Loan Parties under this Amendment, and to pay and save the Administrative Agent and the Lenders harmless from all liability for, any stamp or other taxes which may be payable with respect to the execution or delivery of this Amendment. The obligations of the Loan Parties under this </w:t>
      </w:r>
      <w:r>
        <w:rPr>
          <w:rFonts w:ascii="Times New Roman" w:hAnsi="Times New Roman"/>
          <w:color w:val="000000"/>
          <w:sz w:val="22"/>
          <w:u w:val="single"/>
        </w:rPr>
        <w:t>Section 9</w:t>
      </w:r>
      <w:r>
        <w:rPr>
          <w:rFonts w:ascii="Times New Roman" w:hAnsi="Times New Roman"/>
          <w:color w:val="000000"/>
          <w:sz w:val="22"/>
        </w:rPr>
        <w:t xml:space="preserve"> shall be in addition to, and not in limitation of, any obligations of the Loan Parties in the Loan Documents to reimburse the Administrative Agent for costs and expenses.</w:t>
      </w:r>
      <w:r>
        <w:rPr>
          <w:rFonts w:ascii="Times New Roman" w:hAnsi="Times New Roman"/>
          <w:sz w:val="22"/>
        </w:rPr>
        <w:t xml:space="preserve"> </w:t>
      </w:r>
    </w:p>
    <w:p>
      <w:pPr>
        <w:pStyle w:val="TextBody"/>
        <w:pBdr/>
        <w:bidi w:val="0"/>
        <w:spacing w:before="0" w:after="240"/>
        <w:ind w:left="1440" w:right="1440" w:hanging="0"/>
        <w:jc w:val="left"/>
        <w:rPr>
          <w:rFonts w:ascii="Times New Roman" w:hAnsi="Times New Roman"/>
          <w:sz w:val="22"/>
        </w:rPr>
      </w:pPr>
      <w:r>
        <w:rPr>
          <w:rFonts w:ascii="Times New Roman" w:hAnsi="Times New Roman"/>
          <w:color w:val="000000"/>
          <w:sz w:val="22"/>
        </w:rPr>
        <w:t>Section 10.</w:t>
      </w:r>
      <w:r>
        <w:rPr>
          <w:rFonts w:ascii="Times New Roman" w:hAnsi="Times New Roman"/>
          <w:color w:val="000000"/>
          <w:sz w:val="22"/>
          <w:u w:val="single"/>
        </w:rPr>
        <w:t>Headings</w:t>
      </w:r>
      <w:r>
        <w:rPr>
          <w:rFonts w:ascii="Times New Roman" w:hAnsi="Times New Roman"/>
          <w:color w:val="000000"/>
          <w:sz w:val="22"/>
        </w:rPr>
        <w:t>.  The headings of various sections of this Amendment have been inserted for reference only and shall not be deemed to be a part of this Amendment.</w:t>
      </w:r>
      <w:r>
        <w:rPr>
          <w:rFonts w:ascii="Times New Roman" w:hAnsi="Times New Roman"/>
          <w:sz w:val="22"/>
        </w:rPr>
        <w:t xml:space="preserve"> </w:t>
      </w:r>
    </w:p>
    <w:p>
      <w:pPr>
        <w:pStyle w:val="TextBody"/>
        <w:pBdr/>
        <w:bidi w:val="0"/>
        <w:spacing w:before="0" w:after="240"/>
        <w:ind w:left="1440" w:right="1440" w:hanging="0"/>
        <w:jc w:val="left"/>
        <w:rPr>
          <w:rFonts w:ascii="Times New Roman" w:hAnsi="Times New Roman"/>
          <w:sz w:val="22"/>
        </w:rPr>
      </w:pPr>
      <w:r>
        <w:rPr>
          <w:rFonts w:ascii="Times New Roman" w:hAnsi="Times New Roman"/>
          <w:color w:val="000000"/>
          <w:sz w:val="22"/>
        </w:rPr>
        <w:t>Section 11.</w:t>
      </w:r>
      <w:r>
        <w:rPr>
          <w:rFonts w:ascii="Times New Roman" w:hAnsi="Times New Roman"/>
          <w:color w:val="000000"/>
          <w:sz w:val="22"/>
          <w:u w:val="single"/>
        </w:rPr>
        <w:t>Counterparts; Digital Copies</w:t>
      </w:r>
      <w:r>
        <w:rPr>
          <w:rFonts w:ascii="Times New Roman" w:hAnsi="Times New Roman"/>
          <w:color w:val="000000"/>
          <w:sz w:val="22"/>
        </w:rPr>
        <w:t xml:space="preserve">.  This Amendment may be executed in several counterparts as deemed necessary or convenient, each of which, when so executed, shall be deemed an original, provided that all such counterparts shall be regarded as one and the same document, and any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- 3 -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pBdr/>
        <w:bidi w:val="0"/>
        <w:spacing w:before="0" w:after="240"/>
        <w:ind w:left="1440" w:right="1440" w:hanging="0"/>
        <w:jc w:val="both"/>
        <w:rPr>
          <w:rFonts w:ascii="Times New Roman" w:hAnsi="Times New Roman"/>
          <w:sz w:val="22"/>
        </w:rPr>
      </w:pPr>
      <w:r>
        <w:rPr>
          <w:rFonts w:ascii="Times New Roman" w:hAnsi="Times New Roman"/>
          <w:color w:val="000000"/>
          <w:sz w:val="22"/>
        </w:rPr>
        <w:t>party to this Amendment may execute any such agreement by executing a counterpart of such agreement.  A facsimile or digital copy (pdf) of this signed Amendment shall be deemed to be an original thereof.</w:t>
      </w:r>
      <w:r>
        <w:rPr>
          <w:rFonts w:ascii="Times New Roman" w:hAnsi="Times New Roman"/>
          <w:sz w:val="22"/>
        </w:rPr>
        <w:t xml:space="preserve"> </w:t>
      </w:r>
    </w:p>
    <w:p>
      <w:pPr>
        <w:pStyle w:val="TextBody"/>
        <w:pBdr/>
        <w:bidi w:val="0"/>
        <w:spacing w:before="0" w:after="240"/>
        <w:ind w:left="1440" w:right="1440" w:hanging="0"/>
        <w:jc w:val="left"/>
        <w:rPr>
          <w:rFonts w:ascii="Times New Roman" w:hAnsi="Times New Roman"/>
          <w:sz w:val="22"/>
        </w:rPr>
      </w:pPr>
      <w:r>
        <w:rPr>
          <w:rFonts w:ascii="Times New Roman" w:hAnsi="Times New Roman"/>
          <w:color w:val="000000"/>
          <w:sz w:val="22"/>
        </w:rPr>
        <w:t>Section 12.</w:t>
      </w:r>
      <w:r>
        <w:rPr>
          <w:rFonts w:ascii="Times New Roman" w:hAnsi="Times New Roman"/>
          <w:color w:val="000000"/>
          <w:sz w:val="22"/>
          <w:u w:val="single"/>
        </w:rPr>
        <w:t>Release of Rights and Claims</w:t>
      </w:r>
      <w:r>
        <w:rPr>
          <w:rFonts w:ascii="Times New Roman" w:hAnsi="Times New Roman"/>
          <w:color w:val="000000"/>
          <w:sz w:val="22"/>
        </w:rPr>
        <w:t>.  Each Loan Party, for itself and its successors and assigns, hereby releases, acquits, and forever discharges the Administrative Agent and each Lender and its successors and assigns for any and all manner of actions, suits, claims, charges, judgments, levies and executions which any Loan Party may have against the Administrative Agent or any Lender occurring or arising from the transactions entered into with the Administrative Agent and any Lender in connection with the Loan Documents prior to the date hereof, whether known or unknown, liquidated or unliquidated, fixed or contingent, direct or indirect.</w:t>
      </w:r>
      <w:r>
        <w:rPr>
          <w:rFonts w:ascii="Times New Roman" w:hAnsi="Times New Roman"/>
          <w:sz w:val="22"/>
        </w:rPr>
        <w:t xml:space="preserve"> </w:t>
      </w:r>
    </w:p>
    <w:p>
      <w:pPr>
        <w:pStyle w:val="TextBody"/>
        <w:pBdr/>
        <w:bidi w:val="0"/>
        <w:spacing w:before="0" w:after="240"/>
        <w:ind w:left="1440" w:right="1440" w:hanging="0"/>
        <w:jc w:val="left"/>
        <w:rPr>
          <w:rFonts w:ascii="Times New Roman" w:hAnsi="Times New Roman"/>
          <w:sz w:val="22"/>
        </w:rPr>
      </w:pPr>
      <w:r>
        <w:rPr>
          <w:rFonts w:ascii="Times New Roman" w:hAnsi="Times New Roman"/>
          <w:color w:val="000000"/>
          <w:sz w:val="22"/>
        </w:rPr>
        <w:t>Section 13.</w:t>
      </w:r>
      <w:r>
        <w:rPr>
          <w:rFonts w:ascii="Times New Roman" w:hAnsi="Times New Roman"/>
          <w:color w:val="000000"/>
          <w:sz w:val="22"/>
          <w:u w:val="single"/>
        </w:rPr>
        <w:t>Governing Law</w:t>
      </w:r>
      <w:r>
        <w:rPr>
          <w:rFonts w:ascii="Times New Roman" w:hAnsi="Times New Roman"/>
          <w:color w:val="000000"/>
          <w:sz w:val="22"/>
        </w:rPr>
        <w:t>.  This Amendment shall be governed by the internal laws of the State of Minnesota, without giving effect to conflict of law principles thereof.</w:t>
      </w:r>
      <w:r>
        <w:rPr>
          <w:rFonts w:ascii="Times New Roman" w:hAnsi="Times New Roman"/>
          <w:sz w:val="22"/>
        </w:rPr>
        <w:t xml:space="preserve"> </w:t>
      </w:r>
    </w:p>
    <w:p>
      <w:pPr>
        <w:pStyle w:val="TextBody"/>
        <w:pBdr/>
        <w:bidi w:val="0"/>
        <w:spacing w:before="0" w:after="0"/>
        <w:ind w:left="1440" w:right="1440" w:hanging="0"/>
        <w:jc w:val="left"/>
        <w:rPr>
          <w:rFonts w:ascii="Times New Roman" w:hAnsi="Times New Roman"/>
          <w:sz w:val="22"/>
        </w:rPr>
      </w:pPr>
      <w:r>
        <w:rPr>
          <w:rFonts w:ascii="Times New Roman" w:hAnsi="Times New Roman"/>
          <w:color w:val="000000"/>
          <w:sz w:val="22"/>
        </w:rPr>
        <w:t>Section 14.</w:t>
      </w:r>
      <w:r>
        <w:rPr>
          <w:rFonts w:ascii="Times New Roman" w:hAnsi="Times New Roman"/>
          <w:color w:val="000000"/>
          <w:sz w:val="22"/>
          <w:u w:val="single"/>
        </w:rPr>
        <w:t>No Waiver</w:t>
      </w:r>
      <w:r>
        <w:rPr>
          <w:rFonts w:ascii="Times New Roman" w:hAnsi="Times New Roman"/>
          <w:color w:val="000000"/>
          <w:sz w:val="22"/>
        </w:rPr>
        <w:t>.  Except as otherwise expressly provided herein, nothing contained in this Amendment (or in any other agreement or understanding between the parties) shall constitute a waiver of, or shall otherwise diminish or impair, the Administrative Agent’s or any Lender’s rights or remedies under the Credit Agreement or any of the other Loan Documents, or under applicable Requirement of Law.</w:t>
      </w:r>
      <w:r>
        <w:rPr>
          <w:rFonts w:ascii="Times New Roman" w:hAnsi="Times New Roman"/>
          <w:sz w:val="22"/>
        </w:rPr>
        <w:t xml:space="preserve"> </w:t>
      </w:r>
    </w:p>
    <w:p>
      <w:pPr>
        <w:pStyle w:val="TextBody"/>
        <w:pBdr/>
        <w:bidi w:val="0"/>
        <w:spacing w:before="0" w:after="0"/>
        <w:ind w:left="1440" w:right="1440" w:hanging="0"/>
        <w:jc w:val="both"/>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0" w:after="0"/>
        <w:ind w:left="1440" w:right="1440" w:hanging="0"/>
        <w:jc w:val="center"/>
        <w:rPr>
          <w:rFonts w:ascii="Times New Roman" w:hAnsi="Times New Roman"/>
          <w:sz w:val="22"/>
        </w:rPr>
      </w:pPr>
      <w:r>
        <w:rPr>
          <w:rFonts w:ascii="Times New Roman" w:hAnsi="Times New Roman"/>
          <w:color w:val="000000"/>
          <w:sz w:val="22"/>
        </w:rPr>
        <w:t>[Remainder of page intentionally blank;</w:t>
      </w:r>
      <w:r>
        <w:rPr>
          <w:rFonts w:ascii="Times New Roman" w:hAnsi="Times New Roman"/>
          <w:sz w:val="22"/>
        </w:rPr>
        <w:t xml:space="preserve"> </w:t>
      </w:r>
    </w:p>
    <w:p>
      <w:pPr>
        <w:pStyle w:val="TextBody"/>
        <w:pBdr/>
        <w:bidi w:val="0"/>
        <w:spacing w:before="0" w:after="0"/>
        <w:ind w:left="1440" w:right="1440" w:hanging="0"/>
        <w:jc w:val="center"/>
        <w:rPr>
          <w:rFonts w:ascii="Times New Roman" w:hAnsi="Times New Roman"/>
          <w:sz w:val="22"/>
        </w:rPr>
      </w:pPr>
      <w:r>
        <w:rPr>
          <w:rFonts w:ascii="Times New Roman" w:hAnsi="Times New Roman"/>
          <w:color w:val="000000"/>
          <w:sz w:val="22"/>
        </w:rPr>
        <w:t>signature page follows]</w:t>
      </w:r>
      <w:r>
        <w:rPr>
          <w:rFonts w:ascii="Times New Roman" w:hAnsi="Times New Roman"/>
          <w:sz w:val="22"/>
        </w:rPr>
        <w:t xml:space="preserve"> </w:t>
      </w:r>
    </w:p>
    <w:p>
      <w:pPr>
        <w:pStyle w:val="TextBody"/>
        <w:pBdr/>
        <w:bidi w:val="0"/>
        <w:spacing w:before="0" w:after="0"/>
        <w:ind w:left="1440" w:right="1440" w:hanging="0"/>
        <w:jc w:val="both"/>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0" w:after="0"/>
        <w:ind w:left="1440" w:right="1440" w:firstLine="720"/>
        <w:jc w:val="left"/>
        <w:rPr/>
      </w:pPr>
      <w:r>
        <w:rPr/>
        <w:t> </w:t>
      </w:r>
      <w:bookmarkStart w:id="122" w:name="_Hlk219196557"/>
      <w:bookmarkEnd w:id="122"/>
      <w:r>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 xml:space="preserve">- 4 -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0"/>
        <w:ind w:left="1440" w:right="1440" w:hanging="0"/>
        <w:jc w:val="right"/>
        <w:rPr/>
      </w:pPr>
      <w:r>
        <w:rPr/>
        <w:t xml:space="preserve">  </w:t>
      </w:r>
    </w:p>
    <w:p>
      <w:pPr>
        <w:pStyle w:val="TextBody"/>
        <w:pBdr/>
        <w:bidi w:val="0"/>
        <w:spacing w:before="0" w:after="0"/>
        <w:ind w:left="1440" w:right="1440" w:firstLine="720"/>
        <w:jc w:val="left"/>
        <w:rPr>
          <w:rFonts w:ascii="Times New Roman" w:hAnsi="Times New Roman"/>
          <w:sz w:val="22"/>
        </w:rPr>
      </w:pPr>
      <w:r>
        <w:rPr>
          <w:rFonts w:ascii="Times New Roman" w:hAnsi="Times New Roman"/>
          <w:sz w:val="22"/>
        </w:rPr>
        <w:t xml:space="preserve">IN WITNESS WHEREOF, the parties hereto have caused this Amendment to be executed as of the day and year first above written. </w:t>
      </w:r>
    </w:p>
    <w:p>
      <w:pPr>
        <w:pStyle w:val="TextBody"/>
        <w:pBdr/>
        <w:bidi w:val="0"/>
        <w:spacing w:before="0" w:after="0"/>
        <w:ind w:left="1440" w:right="1440" w:hanging="0"/>
        <w:jc w:val="both"/>
        <w:rPr>
          <w:rFonts w:cs="Times New Roman"/>
          <w:szCs w:val="22"/>
        </w:rPr>
      </w:pPr>
      <w:r>
        <w:rPr>
          <w:rFonts w:cs="Times New Roman"/>
          <w:szCs w:val="22"/>
        </w:rPr>
        <w:t xml:space="preserve">﻿ </w:t>
      </w:r>
    </w:p>
    <w:tbl>
      <w:tblPr>
        <w:tblW w:w="6490" w:type="dxa"/>
        <w:jc w:val="left"/>
        <w:tblInd w:w="1440" w:type="dxa"/>
        <w:tblLayout w:type="fixed"/>
        <w:tblCellMar>
          <w:top w:w="0" w:type="dxa"/>
          <w:left w:w="0" w:type="dxa"/>
          <w:bottom w:w="0" w:type="dxa"/>
          <w:right w:w="0" w:type="dxa"/>
        </w:tblCellMar>
      </w:tblPr>
      <w:tblGrid>
        <w:gridCol w:w="2690"/>
        <w:gridCol w:w="3800"/>
      </w:tblGrid>
      <w:tr>
        <w:trPr/>
        <w:tc>
          <w:tcPr>
            <w:tcW w:w="2690" w:type="dxa"/>
            <w:tcBorders/>
          </w:tcPr>
          <w:p>
            <w:pPr>
              <w:pStyle w:val="TableContents"/>
              <w:bidi w:val="0"/>
              <w:spacing w:before="0" w:after="0"/>
              <w:ind w:left="0" w:right="0" w:hanging="0"/>
              <w:jc w:val="both"/>
              <w:rPr>
                <w:rFonts w:ascii="Times New Roman" w:hAnsi="Times New Roman"/>
                <w:b/>
                <w:sz w:val="22"/>
              </w:rPr>
            </w:pPr>
            <w:r>
              <w:rPr>
                <w:rFonts w:ascii="Times New Roman" w:hAnsi="Times New Roman"/>
                <w:b/>
                <w:sz w:val="22"/>
              </w:rPr>
              <w:t>BORROWER:</w:t>
            </w:r>
          </w:p>
        </w:tc>
        <w:tc>
          <w:tcPr>
            <w:tcW w:w="38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THE TILE SHOP, LLC</w:t>
              <w:br/>
              <w:br/>
              <w:br/>
              <w:t>By:</w:t>
            </w:r>
            <w:r>
              <w:rPr>
                <w:rFonts w:ascii="Times New Roman" w:hAnsi="Times New Roman"/>
                <w:sz w:val="22"/>
                <w:u w:val="single"/>
              </w:rPr>
              <w:t>/s/ Mark Davis</w:t>
            </w:r>
            <w:r>
              <w:rPr>
                <w:rFonts w:ascii="Times New Roman" w:hAnsi="Times New Roman"/>
                <w:sz w:val="22"/>
              </w:rPr>
              <w:br/>
              <w:t>Name:Mark Davis</w:t>
              <w:br/>
              <w:t xml:space="preserve">Title:Chief Financial Officer </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tc>
      </w:tr>
      <w:tr>
        <w:trPr/>
        <w:tc>
          <w:tcPr>
            <w:tcW w:w="2690" w:type="dxa"/>
            <w:tcBorders/>
          </w:tcPr>
          <w:p>
            <w:pPr>
              <w:pStyle w:val="TableContents"/>
              <w:bidi w:val="0"/>
              <w:spacing w:before="0" w:after="0"/>
              <w:ind w:left="0" w:right="0" w:hanging="0"/>
              <w:jc w:val="both"/>
              <w:rPr>
                <w:rFonts w:cs="Times New Roman"/>
                <w:szCs w:val="22"/>
              </w:rPr>
            </w:pPr>
            <w:r>
              <w:rPr>
                <w:rFonts w:cs="Times New Roman"/>
                <w:szCs w:val="22"/>
              </w:rPr>
              <w:t>﻿</w:t>
            </w:r>
          </w:p>
        </w:tc>
        <w:tc>
          <w:tcPr>
            <w:tcW w:w="3800" w:type="dxa"/>
            <w:tcBorders/>
          </w:tcPr>
          <w:p>
            <w:pPr>
              <w:pStyle w:val="TableContents"/>
              <w:bidi w:val="0"/>
              <w:spacing w:before="0" w:after="0"/>
              <w:ind w:left="0" w:right="0" w:hanging="0"/>
              <w:jc w:val="both"/>
              <w:rPr/>
            </w:pPr>
            <w:r>
              <w:rPr/>
              <w:t> </w:t>
            </w:r>
          </w:p>
        </w:tc>
      </w:tr>
      <w:tr>
        <w:trPr/>
        <w:tc>
          <w:tcPr>
            <w:tcW w:w="2690" w:type="dxa"/>
            <w:tcBorders/>
          </w:tcPr>
          <w:p>
            <w:pPr>
              <w:pStyle w:val="TableContents"/>
              <w:bidi w:val="0"/>
              <w:spacing w:before="0" w:after="0"/>
              <w:ind w:left="0" w:right="0" w:hanging="0"/>
              <w:jc w:val="both"/>
              <w:rPr>
                <w:rFonts w:ascii="Times New Roman" w:hAnsi="Times New Roman"/>
                <w:b/>
                <w:sz w:val="22"/>
              </w:rPr>
            </w:pPr>
            <w:r>
              <w:rPr>
                <w:rFonts w:ascii="Times New Roman" w:hAnsi="Times New Roman"/>
                <w:b/>
                <w:sz w:val="22"/>
              </w:rPr>
              <w:t>OTHER LOAN PARTIES:</w:t>
            </w:r>
          </w:p>
        </w:tc>
        <w:tc>
          <w:tcPr>
            <w:tcW w:w="380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TILE SHOP HOLDINGS, INC. </w:t>
              <w:br/>
              <w:br/>
              <w:br/>
              <w:t>By: </w:t>
            </w:r>
            <w:r>
              <w:rPr>
                <w:rFonts w:ascii="Times New Roman" w:hAnsi="Times New Roman"/>
                <w:sz w:val="22"/>
                <w:u w:val="single"/>
              </w:rPr>
              <w:t>/s/ Mark Davis</w:t>
            </w:r>
            <w:r>
              <w:rPr>
                <w:rFonts w:ascii="Times New Roman" w:hAnsi="Times New Roman"/>
                <w:sz w:val="22"/>
              </w:rPr>
              <w:br/>
              <w:t>Name: Mark Davis</w:t>
              <w:br/>
              <w:t xml:space="preserve">Title: Chief Financial Officer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THE TILE SHOP OF MICHIGAN, LLC </w:t>
              <w:br/>
              <w:br/>
              <w:br/>
              <w:t>By: </w:t>
            </w:r>
            <w:r>
              <w:rPr>
                <w:rFonts w:ascii="Times New Roman" w:hAnsi="Times New Roman"/>
                <w:sz w:val="22"/>
                <w:u w:val="single"/>
              </w:rPr>
              <w:t>/s/ Mark Davis</w:t>
            </w:r>
            <w:r>
              <w:rPr>
                <w:rFonts w:ascii="Times New Roman" w:hAnsi="Times New Roman"/>
                <w:sz w:val="22"/>
              </w:rPr>
              <w:br/>
              <w:t>Name: Mark Davis</w:t>
              <w:br/>
              <w:t xml:space="preserve">Title: Chief Financial Officer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TILE SHOP LENDING, INC. </w:t>
              <w:br/>
              <w:br/>
              <w:br/>
              <w:t>By: </w:t>
            </w:r>
            <w:r>
              <w:rPr>
                <w:rFonts w:ascii="Times New Roman" w:hAnsi="Times New Roman"/>
                <w:sz w:val="22"/>
                <w:u w:val="single"/>
              </w:rPr>
              <w:t>/s/ Mark Davis</w:t>
            </w:r>
            <w:r>
              <w:rPr>
                <w:rFonts w:ascii="Times New Roman" w:hAnsi="Times New Roman"/>
                <w:sz w:val="22"/>
              </w:rPr>
              <w:br/>
              <w:t>Name: Mark Davis</w:t>
              <w:br/>
              <w:t xml:space="preserve">Title: Chief Financial Officer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2690" w:type="dxa"/>
            <w:tcBorders/>
          </w:tcPr>
          <w:p>
            <w:pPr>
              <w:pStyle w:val="TableContents"/>
              <w:bidi w:val="0"/>
              <w:spacing w:before="0" w:after="0"/>
              <w:ind w:left="0" w:right="0" w:hanging="0"/>
              <w:jc w:val="both"/>
              <w:rPr>
                <w:rFonts w:cs="Times New Roman"/>
                <w:szCs w:val="22"/>
              </w:rPr>
            </w:pPr>
            <w:r>
              <w:rPr>
                <w:rFonts w:cs="Times New Roman"/>
                <w:szCs w:val="22"/>
              </w:rPr>
              <w:t>﻿</w:t>
            </w:r>
          </w:p>
        </w:tc>
        <w:tc>
          <w:tcPr>
            <w:tcW w:w="3800" w:type="dxa"/>
            <w:tcBorders/>
          </w:tcPr>
          <w:p>
            <w:pPr>
              <w:pStyle w:val="TableContents"/>
              <w:bidi w:val="0"/>
              <w:spacing w:before="0" w:after="0"/>
              <w:ind w:left="0" w:right="0" w:hanging="0"/>
              <w:jc w:val="both"/>
              <w:rPr/>
            </w:pPr>
            <w:r>
              <w:rPr/>
              <w:t> </w:t>
            </w:r>
          </w:p>
        </w:tc>
      </w:tr>
    </w:tbl>
    <w:p>
      <w:pPr>
        <w:pStyle w:val="TextBody"/>
        <w:pBdr/>
        <w:bidi w:val="0"/>
        <w:spacing w:before="0" w:after="0"/>
        <w:ind w:left="1440" w:right="1440" w:hanging="0"/>
        <w:jc w:val="both"/>
        <w:rPr>
          <w:rFonts w:cs="Times New Roman"/>
          <w:szCs w:val="22"/>
        </w:rPr>
      </w:pPr>
      <w:r>
        <w:rPr>
          <w:rFonts w:cs="Times New Roman"/>
          <w:szCs w:val="22"/>
        </w:rPr>
        <w:t xml:space="preserve">﻿ </w:t>
      </w:r>
    </w:p>
    <w:p>
      <w:pPr>
        <w:pStyle w:val="TextBody"/>
        <w:bidi w:val="0"/>
        <w:spacing w:before="0" w:after="0"/>
        <w:ind w:left="1440" w:right="1440" w:hanging="0"/>
        <w:jc w:val="center"/>
        <w:rPr>
          <w:rFonts w:ascii="Times New Roman" w:hAnsi="Times New Roman"/>
          <w:sz w:val="22"/>
        </w:rPr>
      </w:pPr>
      <w:r>
        <w:rPr>
          <w:rFonts w:ascii="Times New Roman" w:hAnsi="Times New Roman"/>
          <w:sz w:val="22"/>
        </w:rPr>
        <w:t>[</w:t>
      </w:r>
      <w:r>
        <w:rPr>
          <w:rFonts w:ascii="Times New Roman" w:hAnsi="Times New Roman"/>
          <w:i/>
          <w:sz w:val="22"/>
        </w:rPr>
        <w:t>Signature Page to Amendment No. 1 to Credit Agreement and Wavier</w:t>
      </w:r>
      <w:r>
        <w:rPr>
          <w:rFonts w:ascii="Times New Roman" w:hAnsi="Times New Roman"/>
          <w:sz w:val="22"/>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2524"/>
        <w:gridCol w:w="4801"/>
      </w:tblGrid>
      <w:tr>
        <w:trPr/>
        <w:tc>
          <w:tcPr>
            <w:tcW w:w="2524" w:type="dxa"/>
            <w:tcBorders/>
          </w:tcPr>
          <w:p>
            <w:pPr>
              <w:pStyle w:val="TableContents"/>
              <w:bidi w:val="0"/>
              <w:spacing w:before="0" w:after="0"/>
              <w:ind w:left="0" w:right="0" w:hanging="0"/>
              <w:jc w:val="both"/>
              <w:rPr>
                <w:rFonts w:ascii="Times New Roman" w:hAnsi="Times New Roman"/>
                <w:b/>
                <w:sz w:val="22"/>
              </w:rPr>
            </w:pPr>
            <w:r>
              <w:rPr>
                <w:rFonts w:ascii="Times New Roman" w:hAnsi="Times New Roman"/>
                <w:b/>
                <w:sz w:val="22"/>
              </w:rPr>
              <w:t>ADMINISTRATIVE AGENT:</w:t>
            </w:r>
          </w:p>
        </w:tc>
        <w:tc>
          <w:tcPr>
            <w:tcW w:w="4801"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JPMORGAN CHASE BANK, N.A., as Administrative Agent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By: </w:t>
            </w:r>
            <w:r>
              <w:rPr>
                <w:rFonts w:ascii="Times New Roman" w:hAnsi="Times New Roman"/>
                <w:sz w:val="22"/>
                <w:u w:val="single"/>
              </w:rPr>
              <w:t>/s/Celeste Dorazio</w:t>
            </w:r>
            <w:r>
              <w:rPr>
                <w:rFonts w:ascii="Times New Roman" w:hAnsi="Times New Roman"/>
                <w:sz w:val="22"/>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Name: Celeste Dorazio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Title: Authorized Officer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2524" w:type="dxa"/>
            <w:tcBorders/>
          </w:tcPr>
          <w:p>
            <w:pPr>
              <w:pStyle w:val="TableContents"/>
              <w:bidi w:val="0"/>
              <w:spacing w:before="0" w:after="0"/>
              <w:ind w:left="0" w:right="0" w:hanging="0"/>
              <w:jc w:val="both"/>
              <w:rPr>
                <w:rFonts w:ascii="Times New Roman" w:hAnsi="Times New Roman"/>
                <w:b/>
                <w:sz w:val="22"/>
              </w:rPr>
            </w:pPr>
            <w:r>
              <w:rPr>
                <w:rFonts w:ascii="Times New Roman" w:hAnsi="Times New Roman"/>
                <w:b/>
                <w:sz w:val="22"/>
              </w:rPr>
              <w:t>LENDERS:</w:t>
            </w:r>
          </w:p>
        </w:tc>
        <w:tc>
          <w:tcPr>
            <w:tcW w:w="4801" w:type="dxa"/>
            <w:tcBorders/>
          </w:tcPr>
          <w:p>
            <w:pPr>
              <w:pStyle w:val="TableContents"/>
              <w:bidi w:val="0"/>
              <w:spacing w:before="0" w:after="0"/>
              <w:ind w:left="0" w:right="0" w:hanging="0"/>
              <w:jc w:val="left"/>
              <w:rPr>
                <w:rFonts w:ascii="Times New Roman" w:hAnsi="Times New Roman"/>
                <w:sz w:val="24"/>
              </w:rPr>
            </w:pPr>
            <w:r>
              <w:rPr>
                <w:rFonts w:ascii="Times New Roman" w:hAnsi="Times New Roman"/>
                <w:sz w:val="22"/>
              </w:rPr>
              <w:t>JPMORGAN CHASE BANK, N.A., as a Lender,</w:t>
            </w:r>
            <w:r>
              <w:rPr>
                <w:rFonts w:ascii="Times New Roman" w:hAnsi="Times New Roman"/>
                <w:sz w:val="24"/>
              </w:rPr>
              <w:t> </w:t>
            </w:r>
            <w:r>
              <w:rPr>
                <w:rFonts w:ascii="Times New Roman" w:hAnsi="Times New Roman"/>
                <w:sz w:val="22"/>
              </w:rPr>
              <w:t>the Swingline Lender and Issuing Bank</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By: </w:t>
            </w:r>
            <w:r>
              <w:rPr>
                <w:rFonts w:ascii="Times New Roman" w:hAnsi="Times New Roman"/>
                <w:sz w:val="22"/>
                <w:u w:val="single"/>
              </w:rPr>
              <w:t>/s/Celeste Dorazio</w:t>
            </w:r>
            <w:r>
              <w:rPr>
                <w:rFonts w:ascii="Times New Roman" w:hAnsi="Times New Roman"/>
                <w:sz w:val="22"/>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Name: Celeste Dorazio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Title: Authorized Officer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FIFTH THIRD BANK, NATIONAL ASSOCIATION, </w:t>
              <w:br/>
              <w:t>as a Lender</w:t>
              <w:br/>
              <w:br/>
              <w:br/>
              <w:t xml:space="preserve">By: </w:t>
            </w:r>
            <w:r>
              <w:rPr>
                <w:rFonts w:ascii="Times New Roman" w:hAnsi="Times New Roman"/>
                <w:sz w:val="22"/>
                <w:u w:val="single"/>
              </w:rPr>
              <w:t>/s/Anthony Catalina</w:t>
            </w:r>
            <w:r>
              <w:rPr>
                <w:rFonts w:ascii="Times New Roman" w:hAnsi="Times New Roman"/>
                <w:sz w:val="22"/>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 xml:space="preserve">Anthony Catalina, Senior Vice President  </w:t>
            </w:r>
          </w:p>
        </w:tc>
      </w:tr>
    </w:tbl>
    <w:p>
      <w:pPr>
        <w:pStyle w:val="TextBody"/>
        <w:bidi w:val="0"/>
        <w:spacing w:before="0" w:after="0"/>
        <w:ind w:left="1440" w:right="1440" w:hanging="0"/>
        <w:jc w:val="center"/>
        <w:rPr>
          <w:rFonts w:cs="Times New Roman"/>
          <w:szCs w:val="22"/>
        </w:rPr>
      </w:pPr>
      <w:r>
        <w:rPr>
          <w:rFonts w:cs="Times New Roman"/>
          <w:szCs w:val="22"/>
        </w:rPr>
        <w:t xml:space="preserve">﻿ </w:t>
      </w:r>
    </w:p>
    <w:p>
      <w:pPr>
        <w:pStyle w:val="TextBody"/>
        <w:bidi w:val="0"/>
        <w:spacing w:before="0" w:after="0"/>
        <w:ind w:left="1440" w:right="1440" w:hanging="0"/>
        <w:jc w:val="left"/>
        <w:rPr>
          <w:rFonts w:cs="Times New Roman"/>
          <w:szCs w:val="24"/>
        </w:rPr>
      </w:pPr>
      <w:r>
        <w:rPr>
          <w:rFonts w:cs="Times New Roman"/>
          <w:szCs w:val="24"/>
        </w:rPr>
        <w:t xml:space="preserve">﻿ </w:t>
      </w:r>
    </w:p>
    <w:p>
      <w:pPr>
        <w:pStyle w:val="TextBody"/>
        <w:bidi w:val="0"/>
        <w:spacing w:before="0" w:after="0"/>
        <w:ind w:left="1440" w:right="1440" w:hanging="0"/>
        <w:jc w:val="center"/>
        <w:rPr>
          <w:rFonts w:ascii="Times New Roman" w:hAnsi="Times New Roman"/>
          <w:sz w:val="24"/>
        </w:rPr>
      </w:pPr>
      <w:r>
        <w:rPr>
          <w:rFonts w:ascii="Times New Roman" w:hAnsi="Times New Roman"/>
          <w:sz w:val="24"/>
        </w:rPr>
        <w:t>[</w:t>
      </w:r>
      <w:r>
        <w:rPr>
          <w:rFonts w:ascii="Times New Roman" w:hAnsi="Times New Roman"/>
          <w:i/>
          <w:sz w:val="24"/>
        </w:rPr>
        <w:t>Signature Page to Amendment No. 1 to Credit Agreement and Wavier</w:t>
      </w:r>
      <w:r>
        <w:rPr>
          <w:rFonts w:ascii="Times New Roman" w:hAnsi="Times New Roman"/>
          <w:sz w:val="24"/>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Calibri" w:hAnsi="Calibri"/>
          <w:sz w:val="20"/>
        </w:rPr>
      </w:pPr>
      <w:bookmarkStart w:id="123" w:name="c800-20251231xex21_1.htm"/>
      <w:bookmarkStart w:id="124" w:name="ksc80020251231xex21_1"/>
      <w:bookmarkEnd w:id="123"/>
      <w:bookmarkEnd w:id="124"/>
      <w:r>
        <w:rPr>
          <w:rFonts w:ascii="Times New Roman" w:hAnsi="Times New Roman"/>
          <w:b/>
          <w:sz w:val="20"/>
        </w:rPr>
        <w:t>Exhibit 21.1</w:t>
      </w:r>
      <w:r>
        <w:rPr>
          <w:rFonts w:ascii="Calibri" w:hAnsi="Calibri"/>
          <w:sz w:val="20"/>
        </w:rPr>
        <w:t xml:space="preserve"> </w:t>
      </w:r>
      <w:r>
        <w:br w:type="page"/>
      </w:r>
    </w:p>
    <w:p>
      <w:pPr>
        <w:pStyle w:val="TextBody"/>
        <w:pBdr/>
        <w:bidi w:val="0"/>
        <w:spacing w:before="0" w:after="240"/>
        <w:ind w:left="1440" w:right="1440" w:hanging="0"/>
        <w:jc w:val="center"/>
        <w:rPr>
          <w:rFonts w:ascii="Times New Roman" w:hAnsi="Times New Roman"/>
          <w:sz w:val="20"/>
        </w:rPr>
      </w:pPr>
      <w:r>
        <w:rPr>
          <w:rFonts w:ascii="Times New Roman" w:hAnsi="Times New Roman"/>
          <w:b/>
          <w:color w:val="000000"/>
          <w:sz w:val="20"/>
        </w:rPr>
        <w:t>TILE SHOP HOLDINGS, INC.</w:t>
      </w:r>
      <w:r>
        <w:rPr>
          <w:rFonts w:ascii="Times New Roman" w:hAnsi="Times New Roman"/>
          <w:sz w:val="20"/>
        </w:rPr>
        <w:t xml:space="preserve"> </w:t>
      </w:r>
    </w:p>
    <w:p>
      <w:pPr>
        <w:pStyle w:val="TextBody"/>
        <w:pBdr/>
        <w:bidi w:val="0"/>
        <w:spacing w:before="0" w:after="240"/>
        <w:ind w:left="1440" w:right="1440" w:hanging="0"/>
        <w:jc w:val="center"/>
        <w:rPr>
          <w:rFonts w:ascii="Times New Roman" w:hAnsi="Times New Roman"/>
          <w:sz w:val="20"/>
        </w:rPr>
      </w:pPr>
      <w:r>
        <w:rPr>
          <w:rFonts w:ascii="Times New Roman" w:hAnsi="Times New Roman"/>
          <w:i/>
          <w:color w:val="000000"/>
          <w:sz w:val="20"/>
        </w:rPr>
        <w:t>Subsidiaries of the Company (all of which are 100% owned, either directly or indirectly)</w:t>
      </w:r>
      <w:r>
        <w:rPr>
          <w:rFonts w:ascii="Times New Roman" w:hAnsi="Times New Roman"/>
          <w:sz w:val="20"/>
        </w:rPr>
        <w:t xml:space="preserve"> </w:t>
      </w:r>
    </w:p>
    <w:p>
      <w:pPr>
        <w:pStyle w:val="TextBody"/>
        <w:pBdr/>
        <w:bidi w:val="0"/>
        <w:spacing w:before="0" w:after="240"/>
        <w:ind w:left="1440" w:right="1440" w:hanging="0"/>
        <w:jc w:val="center"/>
        <w:rPr>
          <w:rFonts w:ascii="Times New Roman" w:hAnsi="Times New Roman"/>
          <w:sz w:val="20"/>
        </w:rPr>
      </w:pPr>
      <w:r>
        <w:rPr>
          <w:rFonts w:ascii="Times New Roman" w:hAnsi="Times New Roman"/>
          <w:color w:val="000000"/>
          <w:sz w:val="20"/>
        </w:rPr>
        <w:t>The Tile Shop, LLC, a Delaware limited liability company</w:t>
      </w:r>
      <w:r>
        <w:rPr>
          <w:rFonts w:ascii="Times New Roman" w:hAnsi="Times New Roman"/>
          <w:sz w:val="20"/>
        </w:rPr>
        <w:t xml:space="preserve"> </w:t>
      </w:r>
    </w:p>
    <w:p>
      <w:pPr>
        <w:pStyle w:val="TextBody"/>
        <w:pBdr/>
        <w:bidi w:val="0"/>
        <w:spacing w:before="0" w:after="240"/>
        <w:ind w:left="1440" w:right="1440" w:hanging="0"/>
        <w:jc w:val="center"/>
        <w:rPr>
          <w:rFonts w:ascii="Times New Roman" w:hAnsi="Times New Roman"/>
          <w:sz w:val="20"/>
        </w:rPr>
      </w:pPr>
      <w:r>
        <w:rPr>
          <w:rFonts w:ascii="Times New Roman" w:hAnsi="Times New Roman"/>
          <w:color w:val="000000"/>
          <w:sz w:val="20"/>
        </w:rPr>
        <w:t>The Tile Shop of Michigan, LLC, a Michigan limited liability company</w:t>
      </w:r>
      <w:r>
        <w:rPr>
          <w:rFonts w:ascii="Times New Roman" w:hAnsi="Times New Roman"/>
          <w:sz w:val="20"/>
        </w:rPr>
        <w:t xml:space="preserve"> </w:t>
      </w:r>
    </w:p>
    <w:p>
      <w:pPr>
        <w:pStyle w:val="TextBody"/>
        <w:pBdr/>
        <w:bidi w:val="0"/>
        <w:spacing w:before="0" w:after="240"/>
        <w:ind w:left="1440" w:right="1440" w:hanging="0"/>
        <w:jc w:val="center"/>
        <w:rPr>
          <w:rFonts w:ascii="Times New Roman" w:hAnsi="Times New Roman"/>
          <w:sz w:val="20"/>
        </w:rPr>
      </w:pPr>
      <w:r>
        <w:rPr>
          <w:rFonts w:ascii="Times New Roman" w:hAnsi="Times New Roman"/>
          <w:color w:val="000000"/>
          <w:sz w:val="20"/>
        </w:rPr>
        <w:t>The Tile Shop of Oklahoma, LLC, a Delaware limited liability company</w:t>
      </w:r>
      <w:r>
        <w:rPr>
          <w:rFonts w:ascii="Times New Roman" w:hAnsi="Times New Roman"/>
          <w:sz w:val="20"/>
        </w:rPr>
        <w:t xml:space="preserve"> </w:t>
      </w:r>
    </w:p>
    <w:p>
      <w:pPr>
        <w:pStyle w:val="TextBody"/>
        <w:pBdr/>
        <w:bidi w:val="0"/>
        <w:spacing w:before="0" w:after="240"/>
        <w:ind w:left="1440" w:right="1440" w:hanging="0"/>
        <w:jc w:val="center"/>
        <w:rPr>
          <w:rFonts w:ascii="Times New Roman" w:hAnsi="Times New Roman"/>
          <w:sz w:val="20"/>
        </w:rPr>
      </w:pPr>
      <w:r>
        <w:rPr>
          <w:rFonts w:ascii="Times New Roman" w:hAnsi="Times New Roman"/>
          <w:color w:val="000000"/>
          <w:sz w:val="20"/>
        </w:rPr>
        <w:t>Tile Shop Lending, Inc., a Delaware corporation</w:t>
      </w:r>
      <w:r>
        <w:rPr>
          <w:rFonts w:ascii="Times New Roman" w:hAnsi="Times New Roman"/>
          <w:sz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125" w:name="c800-20251231xex31_1.htm"/>
      <w:bookmarkStart w:id="126" w:name="ksc80020251231xex31_1"/>
      <w:bookmarkEnd w:id="125"/>
      <w:bookmarkEnd w:id="126"/>
      <w:r>
        <w:rPr>
          <w:rFonts w:ascii="Times New Roman" w:hAnsi="Times New Roman"/>
          <w:b/>
          <w:sz w:val="20"/>
        </w:rPr>
        <w:t>EXHIBIT 31.1</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302 CERTIFICATION OF CHIEF EXECUTIVE OFFICER</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ascii="Times New Roman" w:hAnsi="Times New Roman"/>
          <w:sz w:val="20"/>
        </w:rPr>
      </w:pPr>
      <w:r>
        <w:rPr>
          <w:rFonts w:ascii="Times New Roman" w:hAnsi="Times New Roman"/>
          <w:sz w:val="20"/>
        </w:rPr>
        <w:t xml:space="preserve">I, Cabell H. Lolmaugh, certify that: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6521" w:type="dxa"/>
        <w:jc w:val="left"/>
        <w:tblInd w:w="1440" w:type="dxa"/>
        <w:tblLayout w:type="fixed"/>
        <w:tblCellMar>
          <w:top w:w="0" w:type="dxa"/>
          <w:left w:w="0" w:type="dxa"/>
          <w:bottom w:w="0" w:type="dxa"/>
          <w:right w:w="0" w:type="dxa"/>
        </w:tblCellMar>
      </w:tblPr>
      <w:tblGrid>
        <w:gridCol w:w="38"/>
        <w:gridCol w:w="215"/>
        <w:gridCol w:w="23"/>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24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I have reviewed this annual report on Form 10-K of Tile Shop Holdings, Inc.;</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1"/>
        <w:gridCol w:w="23"/>
        <w:gridCol w:w="7113"/>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711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6"/>
        <w:gridCol w:w="23"/>
        <w:gridCol w:w="7118"/>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118"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7"/>
        <w:gridCol w:w="23"/>
        <w:gridCol w:w="7097"/>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c. </w:t>
            </w:r>
          </w:p>
        </w:tc>
        <w:tc>
          <w:tcPr>
            <w:tcW w:w="23" w:type="dxa"/>
            <w:tcBorders/>
            <w:vAlign w:val="center"/>
          </w:tcPr>
          <w:p>
            <w:pPr>
              <w:pStyle w:val="TableContents"/>
              <w:bidi w:val="0"/>
              <w:spacing w:before="0" w:after="283"/>
              <w:jc w:val="left"/>
              <w:rPr>
                <w:sz w:val="4"/>
                <w:szCs w:val="4"/>
              </w:rPr>
            </w:pPr>
            <w:r>
              <w:rPr>
                <w:sz w:val="4"/>
                <w:szCs w:val="4"/>
              </w:rPr>
            </w:r>
          </w:p>
        </w:tc>
        <w:tc>
          <w:tcPr>
            <w:tcW w:w="7097"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d.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91"/>
        <w:gridCol w:w="23"/>
        <w:gridCol w:w="7073"/>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7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4405" w:type="dxa"/>
        <w:jc w:val="left"/>
        <w:tblInd w:w="1440" w:type="dxa"/>
        <w:tblLayout w:type="fixed"/>
        <w:tblCellMar>
          <w:top w:w="0" w:type="dxa"/>
          <w:left w:w="0" w:type="dxa"/>
          <w:bottom w:w="0" w:type="dxa"/>
          <w:right w:w="0" w:type="dxa"/>
        </w:tblCellMar>
      </w:tblPr>
      <w:tblGrid>
        <w:gridCol w:w="2000"/>
        <w:gridCol w:w="2405"/>
      </w:tblGrid>
      <w:tr>
        <w:trPr/>
        <w:tc>
          <w:tcPr>
            <w:tcW w:w="2000" w:type="dxa"/>
            <w:tcBorders/>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2405" w:type="dxa"/>
            <w:tcBorders/>
          </w:tcPr>
          <w:p>
            <w:pPr>
              <w:pStyle w:val="TableContents"/>
              <w:bidi w:val="0"/>
              <w:spacing w:lineRule="auto" w:line="240" w:before="0" w:after="0"/>
              <w:ind w:left="0" w:right="0" w:hanging="0"/>
              <w:jc w:val="left"/>
              <w:rPr/>
            </w:pPr>
            <w:r>
              <w:rPr/>
              <w:t> </w:t>
            </w:r>
          </w:p>
        </w:tc>
      </w:tr>
      <w:tr>
        <w:trPr/>
        <w:tc>
          <w:tcPr>
            <w:tcW w:w="200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 February 26, 2026</w:t>
            </w:r>
          </w:p>
        </w:tc>
        <w:tc>
          <w:tcPr>
            <w:tcW w:w="240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CABELL H. LOLMAUGH</w:t>
            </w:r>
          </w:p>
        </w:tc>
      </w:tr>
      <w:tr>
        <w:trPr/>
        <w:tc>
          <w:tcPr>
            <w:tcW w:w="2000" w:type="dxa"/>
            <w:tcBorders/>
          </w:tcPr>
          <w:p>
            <w:pPr>
              <w:pStyle w:val="TableContents"/>
              <w:bidi w:val="0"/>
              <w:spacing w:lineRule="auto" w:line="240" w:before="0" w:after="0"/>
              <w:ind w:left="0" w:right="0" w:hanging="0"/>
              <w:jc w:val="left"/>
              <w:rPr/>
            </w:pPr>
            <w:r>
              <w:rPr/>
              <w:t> </w:t>
            </w:r>
          </w:p>
        </w:tc>
        <w:tc>
          <w:tcPr>
            <w:tcW w:w="240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200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240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Cabell H. Lolmaugh</w:t>
            </w:r>
          </w:p>
        </w:tc>
      </w:tr>
      <w:tr>
        <w:trPr/>
        <w:tc>
          <w:tcPr>
            <w:tcW w:w="200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2405" w:type="dxa"/>
            <w:tcBorders/>
          </w:tcPr>
          <w:p>
            <w:pPr>
              <w:pStyle w:val="TableContents"/>
              <w:bidi w:val="0"/>
              <w:spacing w:lineRule="auto" w:line="240" w:before="0" w:after="0"/>
              <w:ind w:left="0" w:right="0" w:hanging="0"/>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127" w:name="c800-20251231xex31_2.htm"/>
      <w:bookmarkStart w:id="128" w:name="ksc80020251231xex31_2"/>
      <w:bookmarkEnd w:id="127"/>
      <w:bookmarkEnd w:id="128"/>
      <w:r>
        <w:rPr>
          <w:rFonts w:ascii="Times New Roman" w:hAnsi="Times New Roman"/>
          <w:b/>
          <w:sz w:val="20"/>
        </w:rPr>
        <w:t>EXHIBIT 31.2</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302 CERTIFICATION OF CHIEF FINANCIAL</w:t>
      </w:r>
      <w:r>
        <w:rPr>
          <w:rFonts w:ascii="Times New Roman" w:hAnsi="Times New Roman"/>
          <w:sz w:val="20"/>
        </w:rPr>
        <w:t xml:space="preserve"> </w:t>
      </w:r>
      <w:r>
        <w:rPr>
          <w:rFonts w:ascii="Times New Roman" w:hAnsi="Times New Roman"/>
          <w:b/>
          <w:sz w:val="20"/>
        </w:rPr>
        <w:t>OFFICER</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ascii="Times New Roman" w:hAnsi="Times New Roman"/>
          <w:sz w:val="20"/>
        </w:rPr>
      </w:pPr>
      <w:r>
        <w:rPr>
          <w:rFonts w:ascii="Times New Roman" w:hAnsi="Times New Roman"/>
          <w:sz w:val="20"/>
        </w:rPr>
        <w:t xml:space="preserve">I, Mark B. Davis, certify that: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6521" w:type="dxa"/>
        <w:jc w:val="left"/>
        <w:tblInd w:w="1440" w:type="dxa"/>
        <w:tblLayout w:type="fixed"/>
        <w:tblCellMar>
          <w:top w:w="0" w:type="dxa"/>
          <w:left w:w="0" w:type="dxa"/>
          <w:bottom w:w="0" w:type="dxa"/>
          <w:right w:w="0" w:type="dxa"/>
        </w:tblCellMar>
      </w:tblPr>
      <w:tblGrid>
        <w:gridCol w:w="38"/>
        <w:gridCol w:w="215"/>
        <w:gridCol w:w="23"/>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24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I have reviewed this annual report on Form 10-K of Tile Shop Holdings, Inc.;</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1"/>
        <w:gridCol w:w="23"/>
        <w:gridCol w:w="7113"/>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711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6"/>
        <w:gridCol w:w="23"/>
        <w:gridCol w:w="7118"/>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118"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tc>
      </w:tr>
    </w:tbl>
    <w:p>
      <w:pPr>
        <w:pStyle w:val="TextBody"/>
        <w:bidi w:val="0"/>
        <w:spacing w:lineRule="auto" w:line="240" w:before="0" w:after="0"/>
        <w:ind w:left="1440" w:right="1440" w:hanging="0"/>
        <w:jc w:val="left"/>
        <w:rPr/>
      </w:pPr>
      <w:r>
        <w:rPr>
          <w:color w:val="000000"/>
        </w:rPr>
        <w:t> </w:t>
      </w:r>
      <w:r>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7"/>
        <w:gridCol w:w="23"/>
        <w:gridCol w:w="7097"/>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c. </w:t>
            </w:r>
          </w:p>
        </w:tc>
        <w:tc>
          <w:tcPr>
            <w:tcW w:w="23" w:type="dxa"/>
            <w:tcBorders/>
            <w:vAlign w:val="center"/>
          </w:tcPr>
          <w:p>
            <w:pPr>
              <w:pStyle w:val="TableContents"/>
              <w:bidi w:val="0"/>
              <w:spacing w:before="0" w:after="283"/>
              <w:jc w:val="left"/>
              <w:rPr>
                <w:sz w:val="4"/>
                <w:szCs w:val="4"/>
              </w:rPr>
            </w:pPr>
            <w:r>
              <w:rPr>
                <w:sz w:val="4"/>
                <w:szCs w:val="4"/>
              </w:rPr>
            </w:r>
          </w:p>
        </w:tc>
        <w:tc>
          <w:tcPr>
            <w:tcW w:w="7097"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d.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ind w:left="1440" w:right="1440" w:hanging="0"/>
        <w:jc w:val="left"/>
        <w:rPr/>
      </w:pPr>
      <w:r>
        <w:rPr>
          <w:color w:val="000000"/>
        </w:rPr>
        <w:t> </w:t>
      </w:r>
      <w:r>
        <w:rPr/>
        <w:t xml:space="preserve"> </w:t>
      </w:r>
    </w:p>
    <w:tbl>
      <w:tblPr>
        <w:tblW w:w="7325" w:type="dxa"/>
        <w:jc w:val="left"/>
        <w:tblInd w:w="1440" w:type="dxa"/>
        <w:tblLayout w:type="fixed"/>
        <w:tblCellMar>
          <w:top w:w="0" w:type="dxa"/>
          <w:left w:w="0" w:type="dxa"/>
          <w:bottom w:w="0" w:type="dxa"/>
          <w:right w:w="0" w:type="dxa"/>
        </w:tblCellMar>
      </w:tblPr>
      <w:tblGrid>
        <w:gridCol w:w="38"/>
        <w:gridCol w:w="191"/>
        <w:gridCol w:w="23"/>
        <w:gridCol w:w="7073"/>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7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3955" w:type="dxa"/>
        <w:jc w:val="left"/>
        <w:tblInd w:w="1440" w:type="dxa"/>
        <w:tblLayout w:type="fixed"/>
        <w:tblCellMar>
          <w:top w:w="0" w:type="dxa"/>
          <w:left w:w="0" w:type="dxa"/>
          <w:bottom w:w="0" w:type="dxa"/>
          <w:right w:w="0" w:type="dxa"/>
        </w:tblCellMar>
      </w:tblPr>
      <w:tblGrid>
        <w:gridCol w:w="2000"/>
        <w:gridCol w:w="1955"/>
      </w:tblGrid>
      <w:tr>
        <w:trPr/>
        <w:tc>
          <w:tcPr>
            <w:tcW w:w="2000" w:type="dxa"/>
            <w:tcBorders/>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1955" w:type="dxa"/>
            <w:tcBorders/>
          </w:tcPr>
          <w:p>
            <w:pPr>
              <w:pStyle w:val="TableContents"/>
              <w:bidi w:val="0"/>
              <w:spacing w:lineRule="auto" w:line="240" w:before="0" w:after="0"/>
              <w:ind w:left="0" w:right="0" w:hanging="0"/>
              <w:jc w:val="left"/>
              <w:rPr/>
            </w:pPr>
            <w:r>
              <w:rPr/>
              <w:t> </w:t>
            </w:r>
          </w:p>
        </w:tc>
      </w:tr>
      <w:tr>
        <w:trPr/>
        <w:tc>
          <w:tcPr>
            <w:tcW w:w="200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 February 26, 2026</w:t>
            </w:r>
          </w:p>
        </w:tc>
        <w:tc>
          <w:tcPr>
            <w:tcW w:w="195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MARK B. DAVIS </w:t>
            </w:r>
          </w:p>
        </w:tc>
      </w:tr>
      <w:tr>
        <w:trPr/>
        <w:tc>
          <w:tcPr>
            <w:tcW w:w="200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195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200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195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Mark B. Davis,</w:t>
            </w:r>
          </w:p>
        </w:tc>
      </w:tr>
      <w:tr>
        <w:trPr/>
        <w:tc>
          <w:tcPr>
            <w:tcW w:w="2000" w:type="dxa"/>
            <w:tcBorders/>
          </w:tcPr>
          <w:p>
            <w:pPr>
              <w:pStyle w:val="TableContents"/>
              <w:bidi w:val="0"/>
              <w:spacing w:lineRule="auto" w:line="240" w:before="0" w:after="0"/>
              <w:ind w:left="0" w:right="0" w:hanging="0"/>
              <w:jc w:val="left"/>
              <w:rPr>
                <w:rFonts w:cs="Times New Roman"/>
                <w:iCs/>
                <w:color w:val="000000"/>
                <w:szCs w:val="20"/>
              </w:rPr>
            </w:pPr>
            <w:r>
              <w:rPr>
                <w:rFonts w:cs="Times New Roman"/>
                <w:iCs/>
                <w:color w:val="000000"/>
                <w:szCs w:val="20"/>
              </w:rPr>
              <w:t>﻿</w:t>
            </w:r>
          </w:p>
        </w:tc>
        <w:tc>
          <w:tcPr>
            <w:tcW w:w="1955" w:type="dxa"/>
            <w:tcBorders/>
          </w:tcPr>
          <w:p>
            <w:pPr>
              <w:pStyle w:val="TableContents"/>
              <w:bidi w:val="0"/>
              <w:spacing w:lineRule="auto" w:line="240" w:before="0" w:after="0"/>
              <w:ind w:left="0" w:right="0" w:hanging="0"/>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129" w:name="c800-20251231xex32_1.htm"/>
      <w:bookmarkStart w:id="130" w:name="ksc80020251231xex32_1"/>
      <w:bookmarkEnd w:id="129"/>
      <w:bookmarkEnd w:id="130"/>
      <w:r>
        <w:rPr>
          <w:rFonts w:ascii="Times New Roman" w:hAnsi="Times New Roman"/>
          <w:b/>
          <w:sz w:val="20"/>
        </w:rPr>
        <w:t>Exhibit 32.1</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Certification Pursuant to 18</w:t>
      </w:r>
      <w:r>
        <w:rPr>
          <w:rFonts w:ascii="Times New Roman" w:hAnsi="Times New Roman"/>
          <w:sz w:val="20"/>
        </w:rPr>
        <w:t> </w:t>
      </w:r>
      <w:r>
        <w:rPr>
          <w:rFonts w:ascii="Times New Roman" w:hAnsi="Times New Roman"/>
          <w:b/>
          <w:sz w:val="20"/>
        </w:rPr>
        <w:t>U.S.C. Section 1350, as Adopted Pursuant to Section 906</w:t>
      </w:r>
      <w:r>
        <w:rPr>
          <w:rFonts w:ascii="Times New Roman" w:hAnsi="Times New Roman"/>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of the Sarbanes-Oxley Act of 2002</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Pursuant to 18 U.S.C. §1350 (as adopted pursuant to §906 of the Sarbanes-Oxley Act of 2002), I, Cabell H. Lolmaugh, the Chief Executive Officer of Tile Shop Holdings, Inc. (the “Company”), hereby certify that the Annual Report on Form 10-K of the Company for the year ended December 31, 2025 (“the Report”) fully complies with the requirements of section 13(a) or 15(d) of the Securities Exchange Act of 1934 and that information contained in the Report fairly presents, in all material respects, the financial condition and results of operations of the Company.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 or its staff upon request.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4405" w:type="dxa"/>
        <w:jc w:val="left"/>
        <w:tblInd w:w="1440" w:type="dxa"/>
        <w:tblLayout w:type="fixed"/>
        <w:tblCellMar>
          <w:top w:w="0" w:type="dxa"/>
          <w:left w:w="0" w:type="dxa"/>
          <w:bottom w:w="0" w:type="dxa"/>
          <w:right w:w="0" w:type="dxa"/>
        </w:tblCellMar>
      </w:tblPr>
      <w:tblGrid>
        <w:gridCol w:w="2000"/>
        <w:gridCol w:w="2405"/>
      </w:tblGrid>
      <w:tr>
        <w:trPr/>
        <w:tc>
          <w:tcPr>
            <w:tcW w:w="2000"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2405" w:type="dxa"/>
            <w:tcBorders/>
          </w:tcPr>
          <w:p>
            <w:pPr>
              <w:pStyle w:val="TableContents"/>
              <w:bidi w:val="0"/>
              <w:spacing w:lineRule="auto" w:line="240" w:before="0" w:after="0"/>
              <w:ind w:left="0" w:right="0" w:hanging="0"/>
              <w:jc w:val="left"/>
              <w:rPr/>
            </w:pPr>
            <w:r>
              <w:rPr/>
              <w:t> </w:t>
            </w:r>
          </w:p>
        </w:tc>
      </w:tr>
      <w:tr>
        <w:trPr/>
        <w:tc>
          <w:tcPr>
            <w:tcW w:w="200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Date: February 26, 2026</w:t>
            </w:r>
          </w:p>
        </w:tc>
        <w:tc>
          <w:tcPr>
            <w:tcW w:w="240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/s/ CABELL H. LOLMAUGH</w:t>
            </w:r>
          </w:p>
        </w:tc>
      </w:tr>
      <w:tr>
        <w:trPr/>
        <w:tc>
          <w:tcPr>
            <w:tcW w:w="200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240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200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240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Cabell H. Lolmaugh</w:t>
            </w:r>
          </w:p>
        </w:tc>
      </w:tr>
      <w:tr>
        <w:trPr/>
        <w:tc>
          <w:tcPr>
            <w:tcW w:w="2000" w:type="dxa"/>
            <w:tcBorders/>
          </w:tcPr>
          <w:p>
            <w:pPr>
              <w:pStyle w:val="TableContents"/>
              <w:bidi w:val="0"/>
              <w:spacing w:lineRule="auto" w:line="240" w:before="0" w:after="0"/>
              <w:ind w:left="0" w:right="0" w:hanging="0"/>
              <w:jc w:val="left"/>
              <w:rPr>
                <w:rFonts w:cs="Times New Roman"/>
                <w:iCs/>
                <w:szCs w:val="20"/>
              </w:rPr>
            </w:pPr>
            <w:r>
              <w:rPr>
                <w:rFonts w:cs="Times New Roman"/>
                <w:iCs/>
                <w:szCs w:val="20"/>
              </w:rPr>
              <w:t>﻿</w:t>
            </w:r>
          </w:p>
        </w:tc>
        <w:tc>
          <w:tcPr>
            <w:tcW w:w="240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i/>
                <w:sz w:val="20"/>
              </w:rPr>
              <w:t>Chief</w:t>
            </w:r>
            <w:r>
              <w:rPr>
                <w:rFonts w:ascii="Times New Roman" w:hAnsi="Times New Roman"/>
                <w:sz w:val="20"/>
              </w:rPr>
              <w:t> </w:t>
            </w:r>
            <w:r>
              <w:rPr>
                <w:rFonts w:ascii="Times New Roman" w:hAnsi="Times New Roman"/>
                <w:i/>
                <w:sz w:val="20"/>
              </w:rPr>
              <w:t>Executive</w:t>
            </w:r>
            <w:r>
              <w:rPr>
                <w:rFonts w:ascii="Times New Roman" w:hAnsi="Times New Roman"/>
                <w:sz w:val="20"/>
              </w:rPr>
              <w:t> </w:t>
            </w:r>
            <w:r>
              <w:rPr>
                <w:rFonts w:ascii="Times New Roman" w:hAnsi="Times New Roman"/>
                <w:i/>
                <w:sz w:val="20"/>
              </w:rPr>
              <w:t>Officer</w:t>
            </w:r>
          </w:p>
        </w:tc>
      </w:tr>
    </w:tbl>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131" w:name="c800-20251231xex32_2.htm"/>
      <w:bookmarkStart w:id="132" w:name="ksc80020251231xex32_2"/>
      <w:bookmarkEnd w:id="131"/>
      <w:bookmarkEnd w:id="132"/>
      <w:r>
        <w:rPr>
          <w:rFonts w:ascii="Times New Roman" w:hAnsi="Times New Roman"/>
          <w:b/>
          <w:sz w:val="20"/>
        </w:rPr>
        <w:t>Exhibit 32.2</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Certification Pursuant to 18</w:t>
      </w:r>
      <w:r>
        <w:rPr>
          <w:rFonts w:ascii="Times New Roman" w:hAnsi="Times New Roman"/>
          <w:sz w:val="20"/>
        </w:rPr>
        <w:t> </w:t>
      </w:r>
      <w:r>
        <w:rPr>
          <w:rFonts w:ascii="Times New Roman" w:hAnsi="Times New Roman"/>
          <w:b/>
          <w:sz w:val="20"/>
        </w:rPr>
        <w:t>U.S.C. Section 1350, as Adopted Pursuant to Section 906</w:t>
      </w:r>
      <w:r>
        <w:rPr>
          <w:rFonts w:ascii="Times New Roman" w:hAnsi="Times New Roman"/>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of the Sarbanes-Oxley Act of 2002</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Pursuant to 18 U.S.C. §1350 (as adopted pursuant to §906 of the Sarbanes-Oxley Act of 2002), I, Mark B. Davis, the Chief Financial Officer of Tile Shop Holdings, Inc. (the “Company”), hereby certify that the Annual Report on Form 10-K of the Company for the year ended December 31, 2025 (“the Report”) fully complies with the requirements of section 13(a) or 15(d) of the Securities Exchange Act of 1934 and that information contained in the Report fairly presents, in all material respects, the financial condition and results of operations of the Company.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 or its staff upon request.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3955" w:type="dxa"/>
        <w:jc w:val="left"/>
        <w:tblInd w:w="1440" w:type="dxa"/>
        <w:tblLayout w:type="fixed"/>
        <w:tblCellMar>
          <w:top w:w="0" w:type="dxa"/>
          <w:left w:w="0" w:type="dxa"/>
          <w:bottom w:w="0" w:type="dxa"/>
          <w:right w:w="0" w:type="dxa"/>
        </w:tblCellMar>
      </w:tblPr>
      <w:tblGrid>
        <w:gridCol w:w="2000"/>
        <w:gridCol w:w="1955"/>
      </w:tblGrid>
      <w:tr>
        <w:trPr/>
        <w:tc>
          <w:tcPr>
            <w:tcW w:w="2000"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1955" w:type="dxa"/>
            <w:tcBorders/>
          </w:tcPr>
          <w:p>
            <w:pPr>
              <w:pStyle w:val="TableContents"/>
              <w:bidi w:val="0"/>
              <w:spacing w:lineRule="auto" w:line="240" w:before="0" w:after="0"/>
              <w:ind w:left="0" w:right="0" w:hanging="0"/>
              <w:jc w:val="left"/>
              <w:rPr/>
            </w:pPr>
            <w:r>
              <w:rPr/>
              <w:t> </w:t>
            </w:r>
          </w:p>
        </w:tc>
      </w:tr>
      <w:tr>
        <w:trPr/>
        <w:tc>
          <w:tcPr>
            <w:tcW w:w="200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Date: February 26, 2026</w:t>
            </w:r>
          </w:p>
        </w:tc>
        <w:tc>
          <w:tcPr>
            <w:tcW w:w="195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/s/ MARK B. DAVIS</w:t>
            </w:r>
          </w:p>
        </w:tc>
      </w:tr>
      <w:tr>
        <w:trPr/>
        <w:tc>
          <w:tcPr>
            <w:tcW w:w="200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195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200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195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Mark B. Davis,</w:t>
            </w:r>
          </w:p>
        </w:tc>
      </w:tr>
      <w:tr>
        <w:trPr/>
        <w:tc>
          <w:tcPr>
            <w:tcW w:w="2000" w:type="dxa"/>
            <w:tcBorders/>
          </w:tcPr>
          <w:p>
            <w:pPr>
              <w:pStyle w:val="TableContents"/>
              <w:bidi w:val="0"/>
              <w:spacing w:lineRule="auto" w:line="240" w:before="0" w:after="0"/>
              <w:ind w:left="0" w:right="0" w:hanging="0"/>
              <w:jc w:val="left"/>
              <w:rPr>
                <w:rFonts w:cs="Times New Roman"/>
                <w:iCs/>
                <w:szCs w:val="20"/>
              </w:rPr>
            </w:pPr>
            <w:r>
              <w:rPr>
                <w:rFonts w:cs="Times New Roman"/>
                <w:iCs/>
                <w:szCs w:val="20"/>
              </w:rPr>
              <w:t>﻿</w:t>
            </w:r>
          </w:p>
        </w:tc>
        <w:tc>
          <w:tcPr>
            <w:tcW w:w="1955" w:type="dxa"/>
            <w:tcBorders/>
          </w:tcPr>
          <w:p>
            <w:pPr>
              <w:pStyle w:val="TableContents"/>
              <w:bidi w:val="0"/>
              <w:spacing w:lineRule="auto" w:line="240" w:before="0" w:after="0"/>
              <w:ind w:left="0" w:right="0" w:hanging="0"/>
              <w:jc w:val="left"/>
              <w:rPr>
                <w:rFonts w:ascii="Times New Roman" w:hAnsi="Times New Roman"/>
                <w:i/>
                <w:sz w:val="20"/>
              </w:rPr>
            </w:pPr>
            <w:r>
              <w:rPr>
                <w:rFonts w:ascii="Times New Roman" w:hAnsi="Times New Roman"/>
                <w:i/>
                <w:sz w:val="20"/>
              </w:rPr>
              <w:t>Chief Financial Officer</w:t>
            </w:r>
          </w:p>
        </w:tc>
      </w:tr>
    </w:tbl>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HorizontalLine"/>
        <w:pBdr>
          <w:bottom w:val="double" w:sz="6" w:space="0" w:color="808080"/>
        </w:pBdr>
        <w:bidi w:val="0"/>
        <w:spacing w:before="0" w:after="283"/>
        <w:ind w:left="1440" w:right="14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egoe UI Symbol">
    <w:charset w:val="01"/>
    <w:family w:val="auto"/>
    <w:pitch w:val="default"/>
  </w:font>
  <w:font w:name="Arial">
    <w:altName w:val="sans-serif"/>
    <w:charset w:val="01"/>
    <w:family w:val="auto"/>
    <w:pitch w:val="default"/>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552800/000155280025000003/ttsh-20241231x10k.htm" TargetMode="External"/><Relationship Id="rId3" Type="http://schemas.openxmlformats.org/officeDocument/2006/relationships/hyperlink" Target="http://www.sec.gov/Archives/edgar/data/1552800/000114420412037509/v316486_ex3-1.htm" TargetMode="External"/><Relationship Id="rId4" Type="http://schemas.openxmlformats.org/officeDocument/2006/relationships/hyperlink" Target="http://www.sec.gov/Archives/edgar/data/1552800/000114420412037509/v316486_ex3-1.htm" TargetMode="External"/><Relationship Id="rId5" Type="http://schemas.openxmlformats.org/officeDocument/2006/relationships/hyperlink" Target="http://www.sec.gov/Archives/edgar/data/0001552800/000110465921094416/tm2122262d1_ex3-2.htm" TargetMode="External"/><Relationship Id="rId6" Type="http://schemas.openxmlformats.org/officeDocument/2006/relationships/hyperlink" Target="http://www.sec.gov/Archives/edgar/data/0001552800/000110465921094416/tm2122262d1_ex3-2.htm" TargetMode="External"/><Relationship Id="rId7" Type="http://schemas.openxmlformats.org/officeDocument/2006/relationships/hyperlink" Target="http://www.sec.gov/Archives/edgar/data/0001552800/000114036125045538/ef20061186_ex3-1.htm" TargetMode="External"/><Relationship Id="rId8" Type="http://schemas.openxmlformats.org/officeDocument/2006/relationships/hyperlink" Target="http://www.sec.gov/Archives/edgar/data/0001552800/000114036125045538/ef20061186_ex3-1.htm" TargetMode="External"/><Relationship Id="rId9" Type="http://schemas.openxmlformats.org/officeDocument/2006/relationships/hyperlink" Target="http://www.sec.gov/Archives/edgar/data/0001552800/000114036125045538/ef20061186_ex3-2.htm" TargetMode="External"/><Relationship Id="rId10" Type="http://schemas.openxmlformats.org/officeDocument/2006/relationships/hyperlink" Target="http://www.sec.gov/Archives/edgar/data/0001552800/000114036125045538/ef20061186_ex3-2.htm" TargetMode="External"/><Relationship Id="rId11" Type="http://schemas.openxmlformats.org/officeDocument/2006/relationships/hyperlink" Target="http://www.sec.gov/Archives/edgar/data/1552800/000114420412037509/v316486_ex3-2.htm" TargetMode="External"/><Relationship Id="rId12" Type="http://schemas.openxmlformats.org/officeDocument/2006/relationships/hyperlink" Target="http://www.sec.gov/Archives/edgar/data/1552800/000114420412037509/v316486_ex3-2.htm" TargetMode="External"/><Relationship Id="rId13" Type="http://schemas.openxmlformats.org/officeDocument/2006/relationships/hyperlink" Target="http://www.sec.gov/Archives/edgar/data/1552800/000114420412040584/v318344_ex4-1.htm" TargetMode="External"/><Relationship Id="rId14" Type="http://schemas.openxmlformats.org/officeDocument/2006/relationships/hyperlink" Target="http://www.sec.gov/Archives/edgar/data/1552800/000114420412040584/v318344_ex4-1.htm" TargetMode="External"/><Relationship Id="rId15" Type="http://schemas.openxmlformats.org/officeDocument/2006/relationships/hyperlink" Target="http://www.sec.gov/Archives/edgar/data/1552800/000114420413041320/v350939_ex10-1.htm" TargetMode="External"/><Relationship Id="rId16" Type="http://schemas.openxmlformats.org/officeDocument/2006/relationships/hyperlink" Target="http://www.sec.gov/Archives/edgar/data/1552800/000114420413041320/v350939_ex10-1.htm" TargetMode="External"/><Relationship Id="rId17" Type="http://schemas.openxmlformats.org/officeDocument/2006/relationships/hyperlink" Target="http://www.sec.gov/Archives/edgar/data/1552800/000114420413041320/v350939_ex10-2.htm" TargetMode="External"/><Relationship Id="rId18" Type="http://schemas.openxmlformats.org/officeDocument/2006/relationships/hyperlink" Target="http://www.sec.gov/Archives/edgar/data/1552800/000114420413041320/v350939_ex10-2.htm" TargetMode="External"/><Relationship Id="rId19" Type="http://schemas.openxmlformats.org/officeDocument/2006/relationships/hyperlink" Target="http://www.sec.gov/Archives/edgar/data/1552800/000114420412040584/v318344_ex10-13.htm" TargetMode="External"/><Relationship Id="rId20" Type="http://schemas.openxmlformats.org/officeDocument/2006/relationships/hyperlink" Target="http://www.sec.gov/Archives/edgar/data/1552800/000114420412040584/v318344_ex10-13.htm" TargetMode="External"/><Relationship Id="rId21" Type="http://schemas.openxmlformats.org/officeDocument/2006/relationships/hyperlink" Target="http://www.sec.gov/Archives/edgar/data/1552800/000114420413041320/v350939_ex10-3.htm" TargetMode="External"/><Relationship Id="rId22" Type="http://schemas.openxmlformats.org/officeDocument/2006/relationships/hyperlink" Target="http://www.sec.gov/Archives/edgar/data/1552800/000114420413041320/v350939_ex10-3.htm" TargetMode="External"/><Relationship Id="rId23" Type="http://schemas.openxmlformats.org/officeDocument/2006/relationships/hyperlink" Target="http://www.sec.gov/Archives/edgar/data/1552800/000114420413041320/v350939_ex10-4.htm" TargetMode="External"/><Relationship Id="rId24" Type="http://schemas.openxmlformats.org/officeDocument/2006/relationships/hyperlink" Target="http://www.sec.gov/Archives/edgar/data/1552800/000114420413041320/v350939_ex10-4.htm" TargetMode="External"/><Relationship Id="rId25" Type="http://schemas.openxmlformats.org/officeDocument/2006/relationships/hyperlink" Target="http://www.sec.gov/Archives/edgar/data/1552800/000114420413041320/v350939_ex10-5.htm" TargetMode="External"/><Relationship Id="rId26" Type="http://schemas.openxmlformats.org/officeDocument/2006/relationships/hyperlink" Target="http://www.sec.gov/Archives/edgar/data/1552800/000114420413041320/v350939_ex10-5.htm" TargetMode="External"/><Relationship Id="rId27" Type="http://schemas.openxmlformats.org/officeDocument/2006/relationships/hyperlink" Target="http://www.sec.gov/Archives/edgar/data/1552800/000155280017000057/tts-20170930xex10_2.htm" TargetMode="External"/><Relationship Id="rId28" Type="http://schemas.openxmlformats.org/officeDocument/2006/relationships/hyperlink" Target="http://www.sec.gov/Archives/edgar/data/1552800/000155280017000057/tts-20170930xex10_2.htm" TargetMode="External"/><Relationship Id="rId29" Type="http://schemas.openxmlformats.org/officeDocument/2006/relationships/hyperlink" Target="http://www.sec.gov/Archives/edgar/data/1552800/000155280018000003/tts-20180219xex10_1.htm" TargetMode="External"/><Relationship Id="rId30" Type="http://schemas.openxmlformats.org/officeDocument/2006/relationships/hyperlink" Target="http://www.sec.gov/Archives/edgar/data/1552800/000155280018000003/tts-20180219xex10_1.htm" TargetMode="External"/><Relationship Id="rId31" Type="http://schemas.openxmlformats.org/officeDocument/2006/relationships/hyperlink" Target="http://www.sec.gov/Archives/edgar/data/1552800/000155280019000029/tts-20190930xex10_2.htm" TargetMode="External"/><Relationship Id="rId32" Type="http://schemas.openxmlformats.org/officeDocument/2006/relationships/hyperlink" Target="http://www.sec.gov/Archives/edgar/data/1552800/000155280019000029/tts-20190930xex10_2.htm" TargetMode="External"/><Relationship Id="rId33" Type="http://schemas.openxmlformats.org/officeDocument/2006/relationships/hyperlink" Target="http://www.sec.gov/Archives/edgar/data/1552800/000110465924035170/tm248262d1_ex10-1.htm" TargetMode="External"/><Relationship Id="rId34" Type="http://schemas.openxmlformats.org/officeDocument/2006/relationships/hyperlink" Target="http://www.sec.gov/Archives/edgar/data/1552800/000110465924035170/tm248262d1_ex10-1.htm" TargetMode="External"/><Relationship Id="rId35" Type="http://schemas.openxmlformats.org/officeDocument/2006/relationships/hyperlink" Target="http://www.sec.gov/Archives/edgar/data/1552800/000155280025000003/ttsh-20241231xex10_11.htm" TargetMode="External"/><Relationship Id="rId36" Type="http://schemas.openxmlformats.org/officeDocument/2006/relationships/hyperlink" Target="http://www.sec.gov/Archives/edgar/data/1552800/000155280025000003/ttsh-20241231xex10_11.htm" TargetMode="External"/><Relationship Id="rId37" Type="http://schemas.openxmlformats.org/officeDocument/2006/relationships/hyperlink" Target="http://www.sec.gov/Archives/edgar/data/0001552800/000155280021000005/ttsh-20201231xex10_20.htm" TargetMode="External"/><Relationship Id="rId38" Type="http://schemas.openxmlformats.org/officeDocument/2006/relationships/hyperlink" Target="http://www.sec.gov/Archives/edgar/data/0001552800/000155280021000005/ttsh-20201231xex10_20.htm" TargetMode="External"/><Relationship Id="rId39" Type="http://schemas.openxmlformats.org/officeDocument/2006/relationships/hyperlink" Target="http://www.sec.gov/Archives/edgar/data/0001552800/000110465921094416/tm2122262d1_ex10-1.htm" TargetMode="External"/><Relationship Id="rId40" Type="http://schemas.openxmlformats.org/officeDocument/2006/relationships/hyperlink" Target="http://www.sec.gov/Archives/edgar/data/0001552800/000110465921094416/tm2122262d1_ex10-1.htm" TargetMode="External"/><Relationship Id="rId41" Type="http://schemas.openxmlformats.org/officeDocument/2006/relationships/hyperlink" Target="http://www.sec.gov/Archives/edgar/data/0001552800/000110465921094416/tm2122262d1_ex10-2.htm" TargetMode="External"/><Relationship Id="rId42" Type="http://schemas.openxmlformats.org/officeDocument/2006/relationships/hyperlink" Target="http://www.sec.gov/Archives/edgar/data/0001552800/000110465921094416/tm2122262d1_ex10-2.htm" TargetMode="External"/><Relationship Id="rId43" Type="http://schemas.openxmlformats.org/officeDocument/2006/relationships/hyperlink" Target="http://www.sec.gov/Archives/edgar/data/0001552800/000110465921094416/tm2122262d1_ex10-3.htm" TargetMode="External"/><Relationship Id="rId44" Type="http://schemas.openxmlformats.org/officeDocument/2006/relationships/hyperlink" Target="http://www.sec.gov/Archives/edgar/data/0001552800/000110465921094416/tm2122262d1_ex10-3.htm" TargetMode="External"/><Relationship Id="rId45" Type="http://schemas.openxmlformats.org/officeDocument/2006/relationships/hyperlink" Target="http://www.sec.gov/Archives/edgar/data/0001552800/000110465921094416/tm2122262d1_ex10-4.htm" TargetMode="External"/><Relationship Id="rId46" Type="http://schemas.openxmlformats.org/officeDocument/2006/relationships/hyperlink" Target="http://www.sec.gov/Archives/edgar/data/0001552800/000110465921094416/tm2122262d1_ex10-4.htm" TargetMode="External"/><Relationship Id="rId47" Type="http://schemas.openxmlformats.org/officeDocument/2006/relationships/hyperlink" Target="http://www.sec.gov/Archives/edgar/data/0001552800/000110465921094416/tm2122262d1_ex10-5.htm" TargetMode="External"/><Relationship Id="rId48" Type="http://schemas.openxmlformats.org/officeDocument/2006/relationships/hyperlink" Target="http://www.sec.gov/Archives/edgar/data/0001552800/000110465921094416/tm2122262d1_ex10-5.htm" TargetMode="External"/><Relationship Id="rId49" Type="http://schemas.openxmlformats.org/officeDocument/2006/relationships/hyperlink" Target="http://www.sec.gov/Archives/edgar/data/1552800/000155280023000003/ttsh-20221231xex10_19.htm" TargetMode="External"/><Relationship Id="rId50" Type="http://schemas.openxmlformats.org/officeDocument/2006/relationships/hyperlink" Target="http://www.sec.gov/Archives/edgar/data/1552800/000155280023000003/ttsh-20221231xex10_19.htm" TargetMode="External"/><Relationship Id="rId51" Type="http://schemas.openxmlformats.org/officeDocument/2006/relationships/hyperlink" Target="http://www.sec.gov/Archives/edgar/data/1552800/000155280023000003/ttsh-20221231xex10_20.htm" TargetMode="External"/><Relationship Id="rId52" Type="http://schemas.openxmlformats.org/officeDocument/2006/relationships/hyperlink" Target="http://www.sec.gov/Archives/edgar/data/1552800/000155280023000003/ttsh-20221231xex10_20.htm" TargetMode="External"/><Relationship Id="rId53" Type="http://schemas.openxmlformats.org/officeDocument/2006/relationships/hyperlink" Target="http://www.sec.gov/Archives/edgar/data/1552800/000155280024000012/ttsh-20240630xex10_1.htm" TargetMode="External"/><Relationship Id="rId54" Type="http://schemas.openxmlformats.org/officeDocument/2006/relationships/hyperlink" Target="http://www.sec.gov/Archives/edgar/data/1552800/000155280024000012/ttsh-20240630xex10_1.htm" TargetMode="External"/><Relationship Id="rId55" Type="http://schemas.openxmlformats.org/officeDocument/2006/relationships/hyperlink" Target="http://www.sec.gov/Archives/edgar/data/1552800/000155280024000012/ttsh-20240630xex10_2.htm" TargetMode="External"/><Relationship Id="rId56" Type="http://schemas.openxmlformats.org/officeDocument/2006/relationships/hyperlink" Target="http://www.sec.gov/Archives/edgar/data/1552800/000155280024000012/ttsh-20240630xex10_2.htm" TargetMode="External"/><Relationship Id="rId57" Type="http://schemas.openxmlformats.org/officeDocument/2006/relationships/hyperlink" Target="http://www.sec.gov/Archives/edgar/data/1552800/000155280024000012/ttsh-20240630xex10_3.htm" TargetMode="External"/><Relationship Id="rId58" Type="http://schemas.openxmlformats.org/officeDocument/2006/relationships/hyperlink" Target="http://www.sec.gov/Archives/edgar/data/1552800/000155280024000012/ttsh-20240630xex10_3.htm" TargetMode="External"/><Relationship Id="rId59" Type="http://schemas.openxmlformats.org/officeDocument/2006/relationships/hyperlink" Target="http://www.sec.gov/Archives/edgar/data/1552800/000110465922104593/tm2227017d1_ex10-1.htm" TargetMode="External"/><Relationship Id="rId60" Type="http://schemas.openxmlformats.org/officeDocument/2006/relationships/hyperlink" Target="http://www.sec.gov/Archives/edgar/data/1552800/000110465922104593/tm2227017d1_ex10-1.htm" TargetMode="External"/><Relationship Id="rId61" Type="http://schemas.openxmlformats.org/officeDocument/2006/relationships/hyperlink" Target="http://www.sec.gov/Archives/edgar/data/1552800/000110465922104593/tm2227017d1_ex10-2.htm" TargetMode="External"/><Relationship Id="rId62" Type="http://schemas.openxmlformats.org/officeDocument/2006/relationships/hyperlink" Target="http://www.sec.gov/Archives/edgar/data/1552800/000110465922104593/tm2227017d1_ex10-2.htm" TargetMode="External"/><Relationship Id="rId63" Type="http://schemas.openxmlformats.org/officeDocument/2006/relationships/hyperlink" Target="http://www.sec.gov/Archives/edgar/data/1552800/000114036125044210/ef20060535_ex10-1.htm" TargetMode="External"/><Relationship Id="rId64" Type="http://schemas.openxmlformats.org/officeDocument/2006/relationships/hyperlink" Target="http://www.sec.gov/Archives/edgar/data/1552800/000114036125044210/ef20060535_ex10-1.htm" TargetMode="External"/><Relationship Id="rId65" Type="http://schemas.openxmlformats.org/officeDocument/2006/relationships/hyperlink" Target="http://www.sec.gov/Archives/edgar/data/1552800/000155280024000005/ttsh-20231231xex19_1.htm" TargetMode="External"/><Relationship Id="rId66" Type="http://schemas.openxmlformats.org/officeDocument/2006/relationships/hyperlink" Target="http://www.sec.gov/Archives/edgar/data/1552800/000155280024000005/ttsh-20231231xex19_1.htm" TargetMode="External"/><Relationship Id="rId67" Type="http://schemas.openxmlformats.org/officeDocument/2006/relationships/hyperlink" Target="http://www.sec.gov/Archives/edgar/data/1552800/000155280024000005/ttsh-20231231xex97_1.htm" TargetMode="External"/><Relationship Id="rId68" Type="http://schemas.openxmlformats.org/officeDocument/2006/relationships/hyperlink" Target="http://www.sec.gov/Archives/edgar/data/1552800/000155280024000005/ttsh-20231231xex97_1.htm" TargetMode="External"/><Relationship Id="rId69" Type="http://schemas.openxmlformats.org/officeDocument/2006/relationships/hyperlink" Target="http://www.sec.gov/Archives/edgar/data/1552800/000110465920003488/tm203308d1_ex99-1.htm" TargetMode="External"/><Relationship Id="rId70" Type="http://schemas.openxmlformats.org/officeDocument/2006/relationships/hyperlink" Target="http://www.sec.gov/Archives/edgar/data/1552800/000110465920003488/tm203308d1_ex99-1.htm" TargetMode="External"/><Relationship Id="rId71" Type="http://schemas.openxmlformats.org/officeDocument/2006/relationships/fontTable" Target="fontTable.xml"/><Relationship Id="rId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58812</Words>
  <Characters>322112</Characters>
  <CharactersWithSpaces>377339</CharactersWithSpaces>
  <Paragraphs>4322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